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kinsoku w:val="0"/>
        <w:spacing w:line="560" w:lineRule="exact"/>
        <w:ind w:left="0" w:leftChars="0" w:firstLine="0" w:firstLineChars="0"/>
        <w:rPr>
          <w:rFonts w:hint="default" w:ascii="Times New Roman" w:hAnsi="Times New Roman" w:cs="Times New Roman"/>
          <w:lang w:val="en-US" w:eastAsia="zh-CN"/>
        </w:rPr>
      </w:pPr>
      <w:bookmarkStart w:id="0" w:name="_GoBack"/>
      <w:bookmarkEnd w:id="0"/>
      <w:r>
        <w:rPr>
          <w:rFonts w:hint="eastAsia" w:ascii="Times New Roman" w:hAnsi="Times New Roman" w:cs="Times New Roman"/>
          <w:lang w:val="en-US" w:eastAsia="zh-CN"/>
        </w:rPr>
        <w:t>附件1：</w:t>
      </w:r>
    </w:p>
    <w:p>
      <w:pPr>
        <w:adjustRightInd w:val="0"/>
        <w:snapToGrid w:val="0"/>
        <w:spacing w:line="560" w:lineRule="exact"/>
        <w:ind w:firstLine="0" w:firstLineChars="0"/>
        <w:jc w:val="center"/>
        <w:outlineLvl w:val="0"/>
        <w:rPr>
          <w:rFonts w:hint="eastAsia" w:ascii="方正小标宋简体" w:eastAsia="方正小标宋简体" w:cs="仿宋_GB2312"/>
          <w:sz w:val="44"/>
          <w:szCs w:val="44"/>
          <w:lang w:val="en-US" w:eastAsia="zh-CN"/>
        </w:rPr>
      </w:pPr>
      <w:r>
        <w:rPr>
          <w:rFonts w:hint="eastAsia" w:ascii="方正小标宋简体" w:eastAsia="方正小标宋简体" w:cs="仿宋_GB2312"/>
          <w:sz w:val="44"/>
          <w:szCs w:val="44"/>
        </w:rPr>
        <w:t>2025年</w:t>
      </w:r>
      <w:r>
        <w:rPr>
          <w:rFonts w:hint="eastAsia" w:ascii="方正小标宋简体" w:eastAsia="方正小标宋简体" w:cs="仿宋_GB2312"/>
          <w:sz w:val="44"/>
          <w:szCs w:val="44"/>
          <w:lang w:val="en-US" w:eastAsia="zh-CN"/>
        </w:rPr>
        <w:t>金融数据交换平台</w:t>
      </w:r>
    </w:p>
    <w:p>
      <w:pPr>
        <w:adjustRightInd w:val="0"/>
        <w:snapToGrid w:val="0"/>
        <w:spacing w:line="560" w:lineRule="exact"/>
        <w:ind w:firstLine="0" w:firstLineChars="0"/>
        <w:jc w:val="center"/>
        <w:outlineLvl w:val="0"/>
        <w:rPr>
          <w:rFonts w:ascii="方正小标宋简体" w:eastAsia="方正小标宋简体" w:cs="仿宋_GB2312"/>
          <w:sz w:val="44"/>
          <w:szCs w:val="44"/>
        </w:rPr>
      </w:pPr>
      <w:r>
        <w:rPr>
          <w:rFonts w:hint="eastAsia" w:ascii="方正小标宋简体" w:eastAsia="方正小标宋简体" w:cs="仿宋_GB2312"/>
          <w:sz w:val="44"/>
          <w:szCs w:val="44"/>
          <w:lang w:val="en-US" w:eastAsia="zh-CN"/>
        </w:rPr>
        <w:t>银证业务压力测试</w:t>
      </w:r>
      <w:r>
        <w:rPr>
          <w:rFonts w:hint="eastAsia" w:ascii="方正小标宋简体" w:eastAsia="方正小标宋简体" w:cs="仿宋_GB2312"/>
          <w:sz w:val="44"/>
          <w:szCs w:val="44"/>
        </w:rPr>
        <w:t>方案</w:t>
      </w:r>
    </w:p>
    <w:p>
      <w:pPr>
        <w:adjustRightInd w:val="0"/>
        <w:snapToGrid w:val="0"/>
        <w:spacing w:line="560" w:lineRule="exact"/>
        <w:ind w:firstLine="560" w:firstLineChars="200"/>
        <w:jc w:val="center"/>
        <w:rPr>
          <w:rFonts w:ascii="方正小标宋简体" w:eastAsia="方正小标宋简体" w:cs="仿宋_GB2312"/>
          <w:sz w:val="28"/>
          <w:szCs w:val="28"/>
        </w:rPr>
      </w:pPr>
    </w:p>
    <w:p>
      <w:pPr>
        <w:widowControl w:val="0"/>
        <w:numPr>
          <w:ilvl w:val="0"/>
          <w:numId w:val="1"/>
        </w:numPr>
        <w:adjustRightInd w:val="0"/>
        <w:snapToGrid w:val="0"/>
        <w:spacing w:after="0" w:line="560" w:lineRule="exact"/>
        <w:ind w:firstLine="640" w:firstLineChars="200"/>
        <w:jc w:val="both"/>
        <w:outlineLvl w:val="0"/>
        <w:rPr>
          <w:rFonts w:hint="eastAsia" w:ascii="黑体" w:hAnsi="黑体" w:eastAsia="黑体" w:cs="黑体"/>
          <w:bCs/>
          <w:color w:val="000000"/>
          <w:kern w:val="2"/>
          <w:sz w:val="32"/>
          <w:szCs w:val="32"/>
          <w:lang w:val="en-US" w:eastAsia="zh-CN" w:bidi="ar-SA"/>
        </w:rPr>
      </w:pPr>
      <w:r>
        <w:rPr>
          <w:rFonts w:hint="eastAsia" w:ascii="黑体" w:hAnsi="黑体" w:eastAsia="黑体" w:cs="黑体"/>
          <w:bCs/>
          <w:color w:val="000000"/>
          <w:kern w:val="2"/>
          <w:sz w:val="32"/>
          <w:szCs w:val="32"/>
          <w:lang w:val="en-US" w:eastAsia="zh-CN" w:bidi="ar-SA"/>
        </w:rPr>
        <w:t>测试目的</w:t>
      </w:r>
    </w:p>
    <w:p>
      <w:pPr>
        <w:widowControl w:val="0"/>
        <w:spacing w:line="560" w:lineRule="exact"/>
        <w:ind w:firstLine="640" w:firstLineChars="200"/>
        <w:jc w:val="both"/>
        <w:rPr>
          <w:rFonts w:hint="eastAsia" w:ascii="仿宋" w:hAnsi="仿宋" w:eastAsia="仿宋" w:cs="仿宋"/>
          <w:color w:val="auto"/>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为了</w:t>
      </w:r>
      <w:r>
        <w:rPr>
          <w:rFonts w:hint="eastAsia" w:eastAsia="仿宋_GB2312"/>
          <w:sz w:val="32"/>
          <w:szCs w:val="32"/>
          <w:lang w:val="en-US" w:eastAsia="zh-CN"/>
        </w:rPr>
        <w:t>切实提升行业机构的性能容量管理能力，提升压力测试的可操作性，健全压力测试体系，</w:t>
      </w:r>
      <w:r>
        <w:rPr>
          <w:rFonts w:hint="eastAsia" w:ascii="仿宋_GB2312" w:hAnsi="Times New Roman" w:eastAsia="仿宋_GB2312" w:cs="Times New Roman"/>
          <w:kern w:val="2"/>
          <w:sz w:val="32"/>
          <w:szCs w:val="32"/>
          <w:lang w:val="en-US" w:eastAsia="zh-CN" w:bidi="ar-SA"/>
        </w:rPr>
        <w:t>有效应对市场交易量快速放大对金融数据交换平台及银证机构技术系统可能产生的冲击</w:t>
      </w:r>
      <w:r>
        <w:rPr>
          <w:rFonts w:hint="eastAsia" w:ascii="仿宋_GB2312" w:eastAsia="仿宋_GB2312" w:cs="Times New Roman"/>
          <w:kern w:val="2"/>
          <w:sz w:val="32"/>
          <w:szCs w:val="32"/>
          <w:lang w:val="en-US" w:eastAsia="zh-CN" w:bidi="ar-SA"/>
        </w:rPr>
        <w:t>。</w:t>
      </w:r>
      <w:r>
        <w:rPr>
          <w:rFonts w:hint="eastAsia" w:eastAsia="仿宋_GB2312"/>
          <w:sz w:val="32"/>
          <w:szCs w:val="32"/>
          <w:lang w:val="en-US" w:eastAsia="zh-CN"/>
        </w:rPr>
        <w:t>深圳证券通信有限公司（以下简称深证通）</w:t>
      </w:r>
      <w:r>
        <w:rPr>
          <w:rFonts w:hint="eastAsia" w:ascii="仿宋_GB2312" w:eastAsia="仿宋_GB2312" w:cs="Times New Roman"/>
          <w:sz w:val="32"/>
          <w:szCs w:val="32"/>
          <w:lang w:val="en-US" w:eastAsia="zh-CN"/>
        </w:rPr>
        <w:t>计划2025年12月20日</w:t>
      </w:r>
      <w:r>
        <w:rPr>
          <w:rFonts w:hint="eastAsia" w:ascii="仿宋_GB2312" w:hAnsi="Times New Roman" w:eastAsia="仿宋_GB2312" w:cs="Times New Roman"/>
          <w:sz w:val="32"/>
          <w:szCs w:val="32"/>
          <w:lang w:val="en-US" w:eastAsia="zh-CN"/>
        </w:rPr>
        <w:t>组织金融数据交换平台</w:t>
      </w:r>
      <w:r>
        <w:rPr>
          <w:rFonts w:hint="eastAsia" w:ascii="仿宋_GB2312" w:eastAsia="仿宋_GB2312" w:cs="Times New Roman"/>
          <w:sz w:val="32"/>
          <w:szCs w:val="32"/>
          <w:lang w:val="en-US" w:eastAsia="zh-CN"/>
        </w:rPr>
        <w:t>(以下简称FDEP)银证用户开展银证业务压力测试，请用户积极开展三方存管端到端的查询、转账交易业务的压力测试，检验相关技术系统容量性能情况</w:t>
      </w:r>
      <w:r>
        <w:rPr>
          <w:rFonts w:hint="eastAsia" w:ascii="仿宋_GB2312" w:hAnsi="Times New Roman" w:eastAsia="仿宋_GB2312" w:cs="Times New Roman"/>
          <w:kern w:val="2"/>
          <w:sz w:val="32"/>
          <w:szCs w:val="32"/>
          <w:lang w:val="en-US" w:eastAsia="zh-CN" w:bidi="ar-SA"/>
        </w:rPr>
        <w:t>。</w:t>
      </w:r>
    </w:p>
    <w:p>
      <w:pPr>
        <w:widowControl w:val="0"/>
        <w:numPr>
          <w:ilvl w:val="0"/>
          <w:numId w:val="1"/>
        </w:numPr>
        <w:adjustRightInd w:val="0"/>
        <w:snapToGrid w:val="0"/>
        <w:spacing w:after="0" w:line="560" w:lineRule="exact"/>
        <w:ind w:firstLine="640" w:firstLineChars="200"/>
        <w:jc w:val="both"/>
        <w:outlineLvl w:val="0"/>
        <w:rPr>
          <w:rFonts w:hint="eastAsia" w:ascii="黑体" w:hAnsi="黑体" w:eastAsia="黑体" w:cs="黑体"/>
          <w:bCs/>
          <w:color w:val="000000"/>
          <w:kern w:val="2"/>
          <w:sz w:val="32"/>
          <w:szCs w:val="32"/>
          <w:lang w:val="en-US" w:eastAsia="zh-CN" w:bidi="ar-SA"/>
        </w:rPr>
      </w:pPr>
      <w:r>
        <w:rPr>
          <w:rFonts w:hint="eastAsia" w:ascii="黑体" w:hAnsi="黑体" w:eastAsia="黑体" w:cs="黑体"/>
          <w:bCs/>
          <w:color w:val="000000"/>
          <w:kern w:val="2"/>
          <w:sz w:val="32"/>
          <w:szCs w:val="32"/>
          <w:lang w:val="en-US" w:eastAsia="zh-CN" w:bidi="ar-SA"/>
        </w:rPr>
        <w:t>参测单位</w:t>
      </w:r>
    </w:p>
    <w:p>
      <w:pPr>
        <w:numPr>
          <w:ilvl w:val="0"/>
          <w:numId w:val="0"/>
        </w:numPr>
        <w:tabs>
          <w:tab w:val="left" w:pos="888"/>
        </w:tabs>
        <w:adjustRightInd w:val="0"/>
        <w:snapToGrid w:val="0"/>
        <w:spacing w:line="560" w:lineRule="exact"/>
        <w:ind w:leftChars="200" w:firstLine="0" w:firstLineChars="0"/>
        <w:rPr>
          <w:rFonts w:eastAsia="仿宋" w:cs="黑体"/>
          <w:sz w:val="32"/>
          <w:szCs w:val="32"/>
        </w:rPr>
      </w:pPr>
      <w:r>
        <w:rPr>
          <w:rFonts w:hint="eastAsia" w:eastAsia="仿宋" w:cs="黑体"/>
          <w:sz w:val="32"/>
          <w:szCs w:val="32"/>
          <w:lang w:val="en-US" w:eastAsia="zh-CN"/>
        </w:rPr>
        <w:t>1.深圳证券通信有限公司</w:t>
      </w:r>
    </w:p>
    <w:p>
      <w:pPr>
        <w:numPr>
          <w:ilvl w:val="0"/>
          <w:numId w:val="0"/>
        </w:numPr>
        <w:tabs>
          <w:tab w:val="left" w:pos="888"/>
        </w:tabs>
        <w:adjustRightInd w:val="0"/>
        <w:snapToGrid w:val="0"/>
        <w:spacing w:line="560" w:lineRule="exact"/>
        <w:ind w:leftChars="200" w:firstLine="0" w:firstLineChars="0"/>
        <w:rPr>
          <w:rFonts w:hint="eastAsia" w:ascii="Times New Roman" w:hAnsi="Times New Roman" w:eastAsia="仿宋" w:cs="Times New Roman"/>
          <w:sz w:val="32"/>
          <w:lang w:val="en-US" w:eastAsia="zh-CN"/>
        </w:rPr>
      </w:pPr>
      <w:r>
        <w:rPr>
          <w:rFonts w:hint="eastAsia" w:eastAsia="仿宋" w:cs="Times New Roman"/>
          <w:sz w:val="32"/>
          <w:lang w:val="en-US" w:eastAsia="zh-CN"/>
        </w:rPr>
        <w:t>2.</w:t>
      </w:r>
      <w:r>
        <w:rPr>
          <w:rFonts w:hint="eastAsia" w:ascii="Times New Roman" w:hAnsi="Times New Roman" w:eastAsia="仿宋" w:cs="Times New Roman"/>
          <w:sz w:val="32"/>
          <w:lang w:val="en-US" w:eastAsia="zh-CN"/>
        </w:rPr>
        <w:t>商业银行</w:t>
      </w:r>
    </w:p>
    <w:p>
      <w:pPr>
        <w:numPr>
          <w:ilvl w:val="0"/>
          <w:numId w:val="0"/>
        </w:numPr>
        <w:tabs>
          <w:tab w:val="left" w:pos="888"/>
        </w:tabs>
        <w:adjustRightInd w:val="0"/>
        <w:snapToGrid w:val="0"/>
        <w:spacing w:after="0" w:line="560" w:lineRule="exact"/>
        <w:ind w:leftChars="200" w:firstLine="0" w:firstLineChars="0"/>
        <w:outlineLvl w:val="0"/>
        <w:rPr>
          <w:rFonts w:hint="eastAsia" w:ascii="仿宋" w:hAnsi="仿宋" w:eastAsia="仿宋" w:cs="仿宋"/>
          <w:color w:val="000000"/>
          <w:kern w:val="2"/>
          <w:sz w:val="32"/>
          <w:szCs w:val="32"/>
          <w:lang w:val="en-US" w:eastAsia="zh-CN" w:bidi="ar-SA"/>
        </w:rPr>
      </w:pPr>
      <w:r>
        <w:rPr>
          <w:rFonts w:hint="eastAsia" w:eastAsia="仿宋" w:cs="Times New Roman"/>
          <w:sz w:val="32"/>
          <w:lang w:val="en-US" w:eastAsia="zh-CN"/>
        </w:rPr>
        <w:t>3.</w:t>
      </w:r>
      <w:r>
        <w:rPr>
          <w:rFonts w:hint="eastAsia" w:ascii="Times New Roman" w:hAnsi="Times New Roman" w:eastAsia="仿宋" w:cs="Times New Roman"/>
          <w:sz w:val="32"/>
          <w:lang w:val="en-US" w:eastAsia="zh-CN"/>
        </w:rPr>
        <w:t>证券公司</w:t>
      </w:r>
    </w:p>
    <w:p>
      <w:pPr>
        <w:widowControl w:val="0"/>
        <w:numPr>
          <w:ilvl w:val="0"/>
          <w:numId w:val="1"/>
        </w:numPr>
        <w:adjustRightInd w:val="0"/>
        <w:snapToGrid w:val="0"/>
        <w:spacing w:after="0" w:line="560" w:lineRule="exact"/>
        <w:ind w:firstLine="640" w:firstLineChars="200"/>
        <w:jc w:val="both"/>
        <w:outlineLvl w:val="0"/>
        <w:rPr>
          <w:rFonts w:hint="eastAsia" w:ascii="黑体" w:hAnsi="黑体" w:eastAsia="黑体" w:cs="黑体"/>
          <w:bCs/>
          <w:color w:val="000000"/>
          <w:kern w:val="2"/>
          <w:sz w:val="32"/>
          <w:szCs w:val="32"/>
          <w:lang w:val="en-US" w:eastAsia="zh-CN" w:bidi="ar-SA"/>
        </w:rPr>
      </w:pPr>
      <w:r>
        <w:rPr>
          <w:rFonts w:hint="eastAsia" w:ascii="黑体" w:hAnsi="黑体" w:eastAsia="黑体" w:cs="黑体"/>
          <w:bCs/>
          <w:color w:val="000000"/>
          <w:kern w:val="2"/>
          <w:sz w:val="32"/>
          <w:szCs w:val="32"/>
          <w:lang w:val="en-US" w:eastAsia="zh-CN" w:bidi="ar-SA"/>
        </w:rPr>
        <w:t>测试内容</w:t>
      </w:r>
    </w:p>
    <w:p>
      <w:pPr>
        <w:widowControl w:val="0"/>
        <w:adjustRightInd w:val="0"/>
        <w:snapToGrid w:val="0"/>
        <w:spacing w:line="560" w:lineRule="exact"/>
        <w:ind w:firstLine="640" w:firstLineChars="200"/>
        <w:jc w:val="left"/>
        <w:outlineLvl w:val="9"/>
        <w:rPr>
          <w:rFonts w:hint="eastAsia" w:ascii="楷体" w:hAnsi="楷体" w:eastAsia="楷体" w:cs="楷体"/>
          <w:color w:val="000000"/>
          <w:kern w:val="2"/>
          <w:sz w:val="32"/>
          <w:szCs w:val="32"/>
          <w:lang w:val="en-US" w:eastAsia="zh-CN" w:bidi="ar-SA"/>
        </w:rPr>
      </w:pPr>
      <w:r>
        <w:rPr>
          <w:rFonts w:hint="eastAsia" w:ascii="仿宋" w:hAnsi="仿宋" w:eastAsia="仿宋" w:cs="仿宋"/>
          <w:kern w:val="2"/>
          <w:sz w:val="32"/>
          <w:szCs w:val="32"/>
          <w:lang w:val="en-US" w:eastAsia="zh-CN" w:bidi="ar-SA"/>
        </w:rPr>
        <w:t>参测用户可参考以下场景开展压力测试：</w:t>
      </w:r>
    </w:p>
    <w:p>
      <w:pPr>
        <w:numPr>
          <w:ilvl w:val="0"/>
          <w:numId w:val="2"/>
        </w:numPr>
        <w:adjustRightInd w:val="0"/>
        <w:snapToGrid w:val="0"/>
        <w:spacing w:line="560" w:lineRule="exact"/>
        <w:ind w:firstLine="640" w:firstLineChars="200"/>
        <w:jc w:val="left"/>
        <w:outlineLvl w:val="9"/>
        <w:rPr>
          <w:rFonts w:hint="eastAsia" w:ascii="Times New Roman" w:hAnsi="Times New Roman" w:eastAsia="仿宋" w:cs="Times New Roman"/>
          <w:sz w:val="32"/>
          <w:lang w:val="en-US" w:eastAsia="zh-CN"/>
        </w:rPr>
      </w:pPr>
      <w:r>
        <w:rPr>
          <w:rFonts w:hint="eastAsia" w:ascii="楷体" w:hAnsi="楷体" w:eastAsia="楷体" w:cs="楷体"/>
          <w:color w:val="000000"/>
          <w:sz w:val="32"/>
          <w:szCs w:val="32"/>
        </w:rPr>
        <w:t>瞬时压力测试</w:t>
      </w:r>
    </w:p>
    <w:p>
      <w:pPr>
        <w:widowControl w:val="0"/>
        <w:spacing w:line="560" w:lineRule="exact"/>
        <w:ind w:firstLine="640" w:firstLineChars="200"/>
        <w:jc w:val="both"/>
        <w:rPr>
          <w:rFonts w:hint="default" w:ascii="Times New Roman" w:hAnsi="Times New Roman" w:eastAsia="仿宋" w:cs="Times New Roman"/>
          <w:kern w:val="2"/>
          <w:sz w:val="32"/>
          <w:szCs w:val="24"/>
          <w:lang w:val="en-US" w:eastAsia="zh-CN" w:bidi="ar-SA"/>
        </w:rPr>
      </w:pPr>
      <w:r>
        <w:rPr>
          <w:rFonts w:hint="eastAsia" w:ascii="Times New Roman" w:hAnsi="Times New Roman" w:eastAsia="仿宋" w:cs="Times New Roman"/>
          <w:kern w:val="2"/>
          <w:sz w:val="32"/>
          <w:szCs w:val="24"/>
          <w:lang w:val="en-US" w:eastAsia="zh-CN" w:bidi="ar-SA"/>
        </w:rPr>
        <w:t>商业银行和证券公司在短时间内以历史生产峰值瞬时压力的3-5倍报入业务消息，测试银证系统每秒能够处理的最大业务消息笔数能否达到性能要求。</w:t>
      </w:r>
    </w:p>
    <w:p>
      <w:pPr>
        <w:numPr>
          <w:ilvl w:val="0"/>
          <w:numId w:val="2"/>
        </w:numPr>
        <w:adjustRightInd w:val="0"/>
        <w:snapToGrid w:val="0"/>
        <w:spacing w:line="560" w:lineRule="exact"/>
        <w:ind w:firstLine="640" w:firstLineChars="200"/>
        <w:jc w:val="left"/>
        <w:outlineLvl w:val="9"/>
        <w:rPr>
          <w:rFonts w:hint="eastAsia" w:ascii="楷体" w:hAnsi="楷体" w:eastAsia="楷体" w:cs="楷体"/>
          <w:color w:val="000000"/>
          <w:sz w:val="32"/>
          <w:szCs w:val="32"/>
        </w:rPr>
      </w:pPr>
      <w:r>
        <w:rPr>
          <w:rFonts w:hint="eastAsia" w:ascii="楷体" w:hAnsi="楷体" w:eastAsia="楷体" w:cs="楷体"/>
          <w:color w:val="000000"/>
          <w:sz w:val="32"/>
          <w:szCs w:val="32"/>
        </w:rPr>
        <w:t>单日平均峰值压力测试</w:t>
      </w:r>
    </w:p>
    <w:p>
      <w:pPr>
        <w:widowControl/>
        <w:adjustRightInd w:val="0"/>
        <w:snapToGrid w:val="0"/>
        <w:spacing w:line="560" w:lineRule="exact"/>
        <w:ind w:firstLine="640" w:firstLineChars="200"/>
        <w:rPr>
          <w:rFonts w:hint="eastAsia" w:ascii="Times New Roman" w:hAnsi="Times New Roman" w:eastAsia="仿宋" w:cs="Times New Roman"/>
          <w:sz w:val="32"/>
          <w:lang w:val="en-US" w:eastAsia="zh-CN"/>
        </w:rPr>
      </w:pPr>
      <w:r>
        <w:rPr>
          <w:rFonts w:hint="eastAsia" w:ascii="Times New Roman" w:hAnsi="Times New Roman" w:eastAsia="仿宋" w:cs="Times New Roman"/>
          <w:sz w:val="32"/>
          <w:lang w:val="en-US" w:eastAsia="zh-CN"/>
        </w:rPr>
        <w:t>商业</w:t>
      </w:r>
      <w:r>
        <w:rPr>
          <w:rFonts w:hint="eastAsia" w:eastAsia="仿宋"/>
          <w:sz w:val="32"/>
        </w:rPr>
        <w:t>银行和证券</w:t>
      </w:r>
      <w:r>
        <w:rPr>
          <w:rFonts w:hint="eastAsia" w:ascii="Times New Roman" w:hAnsi="Times New Roman" w:eastAsia="仿宋" w:cs="Times New Roman"/>
          <w:sz w:val="32"/>
          <w:lang w:val="en-US" w:eastAsia="zh-CN"/>
        </w:rPr>
        <w:t>公司以</w:t>
      </w:r>
      <w:r>
        <w:rPr>
          <w:rFonts w:hint="eastAsia" w:eastAsia="仿宋" w:cs="Times New Roman"/>
          <w:sz w:val="32"/>
          <w:lang w:val="en-US" w:eastAsia="zh-CN"/>
        </w:rPr>
        <w:t>历史</w:t>
      </w:r>
      <w:r>
        <w:rPr>
          <w:rFonts w:hint="eastAsia" w:ascii="Times New Roman" w:hAnsi="Times New Roman" w:eastAsia="仿宋" w:cs="Times New Roman"/>
          <w:sz w:val="32"/>
          <w:lang w:val="en-US" w:eastAsia="zh-CN"/>
        </w:rPr>
        <w:t>单日生产平均业务峰值压力持续报入业务消息，测试银证系统每秒稳定处理的最大业务消息笔数能否达到性能要求。</w:t>
      </w:r>
    </w:p>
    <w:p>
      <w:pPr>
        <w:numPr>
          <w:ilvl w:val="0"/>
          <w:numId w:val="2"/>
        </w:numPr>
        <w:adjustRightInd w:val="0"/>
        <w:snapToGrid w:val="0"/>
        <w:spacing w:line="560" w:lineRule="exact"/>
        <w:ind w:firstLine="640" w:firstLineChars="200"/>
        <w:jc w:val="left"/>
        <w:outlineLvl w:val="9"/>
        <w:rPr>
          <w:rFonts w:eastAsia="楷体" w:cs="楷体"/>
          <w:color w:val="000000"/>
          <w:sz w:val="32"/>
          <w:szCs w:val="32"/>
        </w:rPr>
      </w:pPr>
      <w:r>
        <w:rPr>
          <w:rFonts w:hint="eastAsia" w:eastAsia="楷体" w:cs="楷体"/>
          <w:color w:val="000000"/>
          <w:sz w:val="32"/>
          <w:szCs w:val="32"/>
        </w:rPr>
        <w:t>单日容量压力测试</w:t>
      </w:r>
    </w:p>
    <w:p>
      <w:pPr>
        <w:adjustRightInd w:val="0"/>
        <w:snapToGrid w:val="0"/>
        <w:spacing w:line="560" w:lineRule="exact"/>
        <w:ind w:firstLine="640" w:firstLineChars="200"/>
        <w:rPr>
          <w:rFonts w:hint="eastAsia" w:ascii="仿宋" w:hAnsi="仿宋" w:eastAsia="仿宋" w:cs="仿宋"/>
          <w:color w:val="000000"/>
          <w:sz w:val="32"/>
          <w:szCs w:val="32"/>
        </w:rPr>
      </w:pPr>
      <w:r>
        <w:rPr>
          <w:rFonts w:hint="eastAsia" w:ascii="Times New Roman" w:hAnsi="Times New Roman" w:eastAsia="仿宋" w:cs="Times New Roman"/>
          <w:sz w:val="32"/>
          <w:lang w:val="en-US" w:eastAsia="zh-CN"/>
        </w:rPr>
        <w:t>商业</w:t>
      </w:r>
      <w:r>
        <w:rPr>
          <w:rFonts w:hint="eastAsia" w:eastAsia="仿宋"/>
          <w:sz w:val="32"/>
        </w:rPr>
        <w:t>银行和证券</w:t>
      </w:r>
      <w:r>
        <w:rPr>
          <w:rFonts w:hint="eastAsia" w:ascii="Times New Roman" w:hAnsi="Times New Roman" w:eastAsia="仿宋" w:cs="Times New Roman"/>
          <w:sz w:val="32"/>
          <w:lang w:val="en-US" w:eastAsia="zh-CN"/>
        </w:rPr>
        <w:t>公司测试银证系统单交易日内能够处理的总业务笔数是否满足系统性能要求</w:t>
      </w:r>
      <w:r>
        <w:rPr>
          <w:rFonts w:hint="eastAsia" w:ascii="仿宋" w:hAnsi="仿宋" w:eastAsia="仿宋" w:cs="仿宋"/>
          <w:color w:val="000000"/>
          <w:sz w:val="32"/>
          <w:szCs w:val="32"/>
        </w:rPr>
        <w:t>。</w:t>
      </w:r>
    </w:p>
    <w:p>
      <w:pPr>
        <w:widowControl w:val="0"/>
        <w:adjustRightInd w:val="0"/>
        <w:snapToGrid w:val="0"/>
        <w:spacing w:line="560" w:lineRule="exact"/>
        <w:ind w:firstLine="640" w:firstLineChars="200"/>
        <w:jc w:val="left"/>
        <w:outlineLvl w:val="9"/>
        <w:rPr>
          <w:rFonts w:hint="eastAsia" w:ascii="Times New Roman" w:hAnsi="Times New Roman" w:eastAsia="仿宋" w:cs="Times New Roman"/>
          <w:bCs w:val="0"/>
          <w:kern w:val="2"/>
          <w:sz w:val="32"/>
          <w:szCs w:val="24"/>
          <w:lang w:val="en-US" w:eastAsia="zh-CN" w:bidi="ar-SA"/>
        </w:rPr>
      </w:pPr>
      <w:r>
        <w:rPr>
          <w:rFonts w:hint="eastAsia" w:ascii="Times New Roman" w:hAnsi="Times New Roman" w:eastAsia="仿宋" w:cs="Times New Roman"/>
          <w:bCs w:val="0"/>
          <w:color w:val="000000"/>
          <w:kern w:val="2"/>
          <w:sz w:val="32"/>
          <w:szCs w:val="24"/>
          <w:lang w:val="en-US" w:eastAsia="zh-CN" w:bidi="ar-SA"/>
        </w:rPr>
        <w:t>以上场景供参考，参测用户可根据实际业务需要其他压测场景</w:t>
      </w:r>
      <w:r>
        <w:rPr>
          <w:rFonts w:hint="eastAsia" w:ascii="Times New Roman" w:hAnsi="Times New Roman" w:eastAsia="仿宋" w:cs="Times New Roman"/>
          <w:bCs w:val="0"/>
          <w:kern w:val="2"/>
          <w:sz w:val="32"/>
          <w:szCs w:val="24"/>
          <w:lang w:val="en-US" w:eastAsia="zh-CN" w:bidi="ar-SA"/>
        </w:rPr>
        <w:t>。</w:t>
      </w:r>
    </w:p>
    <w:p>
      <w:pPr>
        <w:widowControl w:val="0"/>
        <w:numPr>
          <w:ilvl w:val="0"/>
          <w:numId w:val="1"/>
        </w:numPr>
        <w:adjustRightInd w:val="0"/>
        <w:snapToGrid w:val="0"/>
        <w:spacing w:after="0" w:line="560" w:lineRule="exact"/>
        <w:ind w:firstLine="640" w:firstLineChars="200"/>
        <w:jc w:val="both"/>
        <w:outlineLvl w:val="0"/>
        <w:rPr>
          <w:rFonts w:hint="eastAsia" w:ascii="黑体" w:hAnsi="黑体" w:eastAsia="黑体" w:cs="黑体"/>
          <w:bCs/>
          <w:color w:val="000000"/>
          <w:kern w:val="2"/>
          <w:sz w:val="32"/>
          <w:szCs w:val="32"/>
          <w:lang w:val="en-US" w:eastAsia="zh-CN" w:bidi="ar-SA"/>
        </w:rPr>
      </w:pPr>
      <w:r>
        <w:rPr>
          <w:rFonts w:hint="eastAsia" w:ascii="黑体" w:hAnsi="黑体" w:eastAsia="黑体" w:cs="黑体"/>
          <w:bCs/>
          <w:color w:val="000000"/>
          <w:kern w:val="2"/>
          <w:sz w:val="32"/>
          <w:szCs w:val="32"/>
          <w:lang w:val="en-US" w:eastAsia="zh-CN" w:bidi="ar-SA"/>
        </w:rPr>
        <w:t>测试时间安排</w:t>
      </w:r>
    </w:p>
    <w:p>
      <w:pPr>
        <w:widowControl w:val="0"/>
        <w:spacing w:line="560" w:lineRule="exact"/>
        <w:ind w:firstLine="640" w:firstLineChars="200"/>
        <w:jc w:val="both"/>
        <w:rPr>
          <w:rFonts w:hint="eastAsia" w:ascii="仿宋" w:hAnsi="仿宋" w:eastAsia="仿宋" w:cs="仿宋"/>
          <w:kern w:val="2"/>
          <w:sz w:val="32"/>
          <w:szCs w:val="32"/>
          <w:lang w:val="en-US" w:eastAsia="zh-CN" w:bidi="ar-SA"/>
        </w:rPr>
      </w:pPr>
      <w:r>
        <w:rPr>
          <w:rFonts w:hint="default" w:ascii="Times New Roman" w:hAnsi="Times New Roman" w:eastAsia="仿宋" w:cs="Times New Roman"/>
          <w:color w:val="000000"/>
          <w:kern w:val="2"/>
          <w:sz w:val="32"/>
          <w:szCs w:val="32"/>
          <w:lang w:val="en-US" w:eastAsia="zh-CN" w:bidi="ar-SA"/>
        </w:rPr>
        <w:t>集中测试时段：2025年12月20日（星期六）9:00-15:00</w:t>
      </w:r>
    </w:p>
    <w:p>
      <w:pPr>
        <w:widowControl w:val="0"/>
        <w:spacing w:line="560" w:lineRule="exact"/>
        <w:ind w:firstLine="640" w:firstLineChars="200"/>
        <w:jc w:val="both"/>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压测具体安排详见下表：</w:t>
      </w:r>
    </w:p>
    <w:p>
      <w:pPr>
        <w:widowControl w:val="0"/>
        <w:spacing w:line="560" w:lineRule="exact"/>
        <w:ind w:firstLine="640" w:firstLineChars="200"/>
        <w:jc w:val="both"/>
        <w:rPr>
          <w:rFonts w:hint="default" w:ascii="仿宋" w:hAnsi="仿宋" w:eastAsia="仿宋" w:cs="仿宋"/>
          <w:kern w:val="2"/>
          <w:sz w:val="32"/>
          <w:szCs w:val="32"/>
          <w:lang w:val="en-US" w:eastAsia="zh-CN" w:bidi="ar-SA"/>
        </w:rPr>
      </w:pPr>
    </w:p>
    <w:tbl>
      <w:tblPr>
        <w:tblStyle w:val="4"/>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78"/>
        <w:gridCol w:w="1861"/>
        <w:gridCol w:w="50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tblHeader/>
          <w:jc w:val="center"/>
        </w:trPr>
        <w:tc>
          <w:tcPr>
            <w:tcW w:w="926" w:type="pct"/>
            <w:tcBorders>
              <w:top w:val="single" w:color="auto" w:sz="4" w:space="0"/>
              <w:bottom w:val="single" w:color="auto" w:sz="4" w:space="0"/>
              <w:right w:val="single" w:color="auto" w:sz="4" w:space="0"/>
            </w:tcBorders>
            <w:shd w:val="clear" w:color="auto" w:fill="E7E6E6"/>
            <w:noWrap w:val="0"/>
            <w:vAlign w:val="center"/>
          </w:tcPr>
          <w:p>
            <w:pPr>
              <w:spacing w:line="240" w:lineRule="auto"/>
              <w:ind w:firstLine="0" w:firstLineChars="0"/>
              <w:jc w:val="center"/>
              <w:rPr>
                <w:rFonts w:hint="eastAsia" w:ascii="仿宋" w:hAnsi="仿宋" w:eastAsia="仿宋" w:cs="仿宋"/>
                <w:b/>
                <w:bCs/>
                <w:color w:val="000000"/>
                <w:sz w:val="21"/>
                <w:szCs w:val="21"/>
              </w:rPr>
            </w:pPr>
            <w:r>
              <w:rPr>
                <w:rFonts w:hint="eastAsia" w:ascii="仿宋" w:hAnsi="仿宋" w:eastAsia="仿宋" w:cs="仿宋"/>
                <w:b/>
                <w:bCs/>
                <w:color w:val="000000"/>
                <w:sz w:val="21"/>
                <w:szCs w:val="21"/>
              </w:rPr>
              <w:t>时间</w:t>
            </w:r>
          </w:p>
        </w:tc>
        <w:tc>
          <w:tcPr>
            <w:tcW w:w="1092" w:type="pct"/>
            <w:tcBorders>
              <w:top w:val="single" w:color="auto" w:sz="4" w:space="0"/>
              <w:left w:val="single" w:color="auto" w:sz="4" w:space="0"/>
              <w:bottom w:val="single" w:color="auto" w:sz="4" w:space="0"/>
              <w:right w:val="single" w:color="auto" w:sz="4" w:space="0"/>
            </w:tcBorders>
            <w:shd w:val="clear" w:color="auto" w:fill="E7E6E6"/>
            <w:noWrap w:val="0"/>
            <w:vAlign w:val="center"/>
          </w:tcPr>
          <w:p>
            <w:pPr>
              <w:spacing w:line="240" w:lineRule="auto"/>
              <w:ind w:firstLine="0" w:firstLineChars="0"/>
              <w:jc w:val="center"/>
              <w:rPr>
                <w:rFonts w:hint="eastAsia" w:ascii="仿宋" w:hAnsi="仿宋" w:eastAsia="仿宋" w:cs="仿宋"/>
                <w:b/>
                <w:bCs/>
                <w:color w:val="000000"/>
                <w:sz w:val="21"/>
                <w:szCs w:val="21"/>
              </w:rPr>
            </w:pPr>
            <w:r>
              <w:rPr>
                <w:rFonts w:hint="eastAsia" w:ascii="仿宋" w:hAnsi="仿宋" w:eastAsia="仿宋" w:cs="仿宋"/>
                <w:b/>
                <w:bCs/>
                <w:color w:val="000000"/>
                <w:sz w:val="21"/>
                <w:szCs w:val="21"/>
              </w:rPr>
              <w:t>主要测试事项</w:t>
            </w:r>
          </w:p>
        </w:tc>
        <w:tc>
          <w:tcPr>
            <w:tcW w:w="2981" w:type="pct"/>
            <w:tcBorders>
              <w:top w:val="single" w:color="auto" w:sz="4" w:space="0"/>
              <w:left w:val="single" w:color="auto" w:sz="4" w:space="0"/>
              <w:bottom w:val="single" w:color="auto" w:sz="4" w:space="0"/>
            </w:tcBorders>
            <w:shd w:val="clear" w:color="auto" w:fill="E7E6E6"/>
            <w:noWrap w:val="0"/>
            <w:vAlign w:val="center"/>
          </w:tcPr>
          <w:p>
            <w:pPr>
              <w:spacing w:line="240" w:lineRule="auto"/>
              <w:ind w:firstLine="0" w:firstLineChars="0"/>
              <w:jc w:val="center"/>
              <w:rPr>
                <w:rFonts w:hint="eastAsia" w:ascii="仿宋" w:hAnsi="仿宋" w:eastAsia="仿宋" w:cs="仿宋"/>
                <w:b/>
                <w:bCs/>
                <w:color w:val="000000"/>
                <w:sz w:val="21"/>
                <w:szCs w:val="21"/>
              </w:rPr>
            </w:pPr>
            <w:r>
              <w:rPr>
                <w:rFonts w:hint="eastAsia" w:ascii="仿宋" w:hAnsi="仿宋" w:eastAsia="仿宋" w:cs="仿宋"/>
                <w:b/>
                <w:bCs/>
                <w:color w:val="000000"/>
                <w:sz w:val="21"/>
                <w:szCs w:val="21"/>
              </w:rPr>
              <w:t>参测单位重点测试内容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8" w:hRule="atLeast"/>
          <w:jc w:val="center"/>
        </w:trPr>
        <w:tc>
          <w:tcPr>
            <w:tcW w:w="926" w:type="pct"/>
            <w:vMerge w:val="restart"/>
            <w:tcBorders>
              <w:top w:val="single" w:color="auto" w:sz="4" w:space="0"/>
              <w:right w:val="single" w:color="auto" w:sz="4" w:space="0"/>
            </w:tcBorders>
            <w:noWrap w:val="0"/>
            <w:vAlign w:val="center"/>
          </w:tcPr>
          <w:p>
            <w:pPr>
              <w:spacing w:line="240" w:lineRule="exact"/>
              <w:ind w:firstLine="0" w:firstLineChars="0"/>
              <w:jc w:val="center"/>
              <w:rPr>
                <w:rFonts w:hint="eastAsia" w:ascii="仿宋" w:hAnsi="仿宋" w:eastAsia="仿宋" w:cs="仿宋"/>
                <w:sz w:val="21"/>
                <w:szCs w:val="21"/>
              </w:rPr>
            </w:pPr>
            <w:r>
              <w:rPr>
                <w:rFonts w:hint="eastAsia" w:ascii="仿宋" w:hAnsi="仿宋" w:eastAsia="仿宋" w:cs="仿宋"/>
                <w:sz w:val="21"/>
                <w:szCs w:val="21"/>
                <w:lang w:val="en-US" w:eastAsia="zh-CN"/>
              </w:rPr>
              <w:t>20日9:00</w:t>
            </w:r>
            <w:r>
              <w:rPr>
                <w:rFonts w:hint="eastAsia" w:ascii="仿宋" w:hAnsi="仿宋" w:eastAsia="仿宋" w:cs="仿宋"/>
                <w:sz w:val="21"/>
                <w:szCs w:val="21"/>
              </w:rPr>
              <w:t>前</w:t>
            </w:r>
          </w:p>
        </w:tc>
        <w:tc>
          <w:tcPr>
            <w:tcW w:w="1092" w:type="pct"/>
            <w:vMerge w:val="restart"/>
            <w:tcBorders>
              <w:top w:val="single" w:color="auto" w:sz="4" w:space="0"/>
              <w:left w:val="single" w:color="auto" w:sz="4" w:space="0"/>
              <w:right w:val="single" w:color="auto" w:sz="4" w:space="0"/>
            </w:tcBorders>
            <w:noWrap w:val="0"/>
            <w:vAlign w:val="center"/>
          </w:tcPr>
          <w:p>
            <w:pPr>
              <w:spacing w:line="240" w:lineRule="exact"/>
              <w:ind w:firstLine="0" w:firstLineChars="0"/>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测试前准备工作</w:t>
            </w:r>
          </w:p>
        </w:tc>
        <w:tc>
          <w:tcPr>
            <w:tcW w:w="2981" w:type="pct"/>
            <w:tcBorders>
              <w:top w:val="single" w:color="auto" w:sz="4" w:space="0"/>
              <w:left w:val="single" w:color="auto" w:sz="4" w:space="0"/>
              <w:bottom w:val="single" w:color="auto" w:sz="4" w:space="0"/>
            </w:tcBorders>
            <w:noWrap w:val="0"/>
            <w:vAlign w:val="center"/>
          </w:tcPr>
          <w:p>
            <w:pPr>
              <w:spacing w:line="240" w:lineRule="exact"/>
              <w:ind w:firstLine="0" w:firstLineChars="0"/>
              <w:rPr>
                <w:rFonts w:hint="eastAsia" w:ascii="仿宋" w:hAnsi="仿宋" w:eastAsia="仿宋" w:cs="仿宋"/>
                <w:sz w:val="21"/>
                <w:szCs w:val="21"/>
              </w:rPr>
            </w:pPr>
            <w:r>
              <w:rPr>
                <w:rFonts w:hint="eastAsia" w:ascii="仿宋" w:hAnsi="仿宋" w:eastAsia="仿宋" w:cs="仿宋"/>
                <w:sz w:val="21"/>
                <w:szCs w:val="21"/>
                <w:lang w:val="en-US" w:eastAsia="zh-CN"/>
              </w:rPr>
              <w:t>部署好银证系统和FDEP客户端接入FDEP专线测试环境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6" w:hRule="atLeast"/>
          <w:jc w:val="center"/>
        </w:trPr>
        <w:tc>
          <w:tcPr>
            <w:tcW w:w="926" w:type="pct"/>
            <w:vMerge w:val="continue"/>
            <w:tcBorders>
              <w:right w:val="single" w:color="auto" w:sz="4" w:space="0"/>
            </w:tcBorders>
            <w:noWrap w:val="0"/>
            <w:vAlign w:val="center"/>
          </w:tcPr>
          <w:p>
            <w:pPr>
              <w:spacing w:line="240" w:lineRule="exact"/>
              <w:ind w:firstLine="0" w:firstLineChars="0"/>
              <w:jc w:val="center"/>
              <w:rPr>
                <w:rFonts w:hint="eastAsia" w:ascii="仿宋" w:hAnsi="仿宋" w:eastAsia="仿宋" w:cs="仿宋"/>
                <w:sz w:val="21"/>
                <w:szCs w:val="21"/>
                <w:lang w:val="en-US" w:eastAsia="zh-CN"/>
              </w:rPr>
            </w:pPr>
          </w:p>
        </w:tc>
        <w:tc>
          <w:tcPr>
            <w:tcW w:w="1092" w:type="pct"/>
            <w:vMerge w:val="continue"/>
            <w:tcBorders>
              <w:left w:val="single" w:color="auto" w:sz="4" w:space="0"/>
              <w:right w:val="single" w:color="auto" w:sz="4" w:space="0"/>
            </w:tcBorders>
            <w:noWrap w:val="0"/>
            <w:vAlign w:val="center"/>
          </w:tcPr>
          <w:p>
            <w:pPr>
              <w:spacing w:line="240" w:lineRule="exact"/>
              <w:ind w:firstLine="0" w:firstLineChars="0"/>
              <w:rPr>
                <w:rFonts w:hint="eastAsia" w:ascii="仿宋" w:hAnsi="仿宋" w:eastAsia="仿宋" w:cs="仿宋"/>
                <w:sz w:val="21"/>
                <w:szCs w:val="21"/>
                <w:lang w:val="en-US" w:eastAsia="zh-CN"/>
              </w:rPr>
            </w:pPr>
          </w:p>
        </w:tc>
        <w:tc>
          <w:tcPr>
            <w:tcW w:w="2981" w:type="pct"/>
            <w:tcBorders>
              <w:top w:val="single" w:color="auto" w:sz="4" w:space="0"/>
              <w:left w:val="single" w:color="auto" w:sz="4" w:space="0"/>
              <w:bottom w:val="single" w:color="auto" w:sz="4" w:space="0"/>
            </w:tcBorders>
            <w:noWrap w:val="0"/>
            <w:vAlign w:val="center"/>
          </w:tcPr>
          <w:p>
            <w:pPr>
              <w:spacing w:line="240" w:lineRule="exact"/>
              <w:ind w:firstLine="0" w:firstLineChars="0"/>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根据生产环境实际业务量计算压测指标：</w:t>
            </w:r>
          </w:p>
          <w:p>
            <w:pPr>
              <w:spacing w:line="240" w:lineRule="exact"/>
              <w:ind w:firstLine="0" w:firstLineChars="0"/>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1.统计历史交易日内每秒转账及查询速率之和，获取其中最大值，即最大转账及查询速率峰值。</w:t>
            </w:r>
          </w:p>
          <w:p>
            <w:pPr>
              <w:spacing w:line="240" w:lineRule="exact"/>
              <w:ind w:firstLine="0" w:firstLineChars="0"/>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2.统计历史交易日集中交易时间段（7:00-16:00）内单日平均转账和查询速率，获取其中最大值，即集中交易时间段内最大单日平均转账和查询速率峰值。</w:t>
            </w:r>
          </w:p>
          <w:p>
            <w:pPr>
              <w:spacing w:line="240" w:lineRule="exact"/>
              <w:ind w:firstLine="0" w:firstLineChars="0"/>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3.统计历史所有交易日的转账和查询总笔数，获取其中最大值，即单日转账和查询总笔数峰值。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4" w:hRule="atLeast"/>
          <w:jc w:val="center"/>
        </w:trPr>
        <w:tc>
          <w:tcPr>
            <w:tcW w:w="926" w:type="pct"/>
            <w:vMerge w:val="continue"/>
            <w:tcBorders>
              <w:bottom w:val="single" w:color="auto" w:sz="4" w:space="0"/>
              <w:right w:val="single" w:color="auto" w:sz="4" w:space="0"/>
            </w:tcBorders>
            <w:noWrap w:val="0"/>
            <w:vAlign w:val="center"/>
          </w:tcPr>
          <w:p>
            <w:pPr>
              <w:spacing w:line="240" w:lineRule="exact"/>
              <w:ind w:firstLine="0" w:firstLineChars="0"/>
              <w:jc w:val="center"/>
              <w:rPr>
                <w:rFonts w:hint="eastAsia" w:ascii="仿宋" w:hAnsi="仿宋" w:eastAsia="仿宋" w:cs="仿宋"/>
                <w:sz w:val="21"/>
                <w:szCs w:val="21"/>
                <w:lang w:val="en-US" w:eastAsia="zh-CN"/>
              </w:rPr>
            </w:pPr>
          </w:p>
        </w:tc>
        <w:tc>
          <w:tcPr>
            <w:tcW w:w="1092" w:type="pct"/>
            <w:vMerge w:val="continue"/>
            <w:tcBorders>
              <w:left w:val="single" w:color="auto" w:sz="4" w:space="0"/>
              <w:bottom w:val="single" w:color="auto" w:sz="4" w:space="0"/>
              <w:right w:val="single" w:color="auto" w:sz="4" w:space="0"/>
            </w:tcBorders>
            <w:noWrap w:val="0"/>
            <w:vAlign w:val="center"/>
          </w:tcPr>
          <w:p>
            <w:pPr>
              <w:spacing w:line="240" w:lineRule="exact"/>
              <w:ind w:firstLine="0" w:firstLineChars="0"/>
              <w:rPr>
                <w:rFonts w:hint="eastAsia" w:ascii="仿宋" w:hAnsi="仿宋" w:eastAsia="仿宋" w:cs="仿宋"/>
                <w:sz w:val="21"/>
                <w:szCs w:val="21"/>
                <w:lang w:val="en-US" w:eastAsia="zh-CN"/>
              </w:rPr>
            </w:pPr>
          </w:p>
        </w:tc>
        <w:tc>
          <w:tcPr>
            <w:tcW w:w="2981" w:type="pct"/>
            <w:tcBorders>
              <w:top w:val="single" w:color="auto" w:sz="4" w:space="0"/>
              <w:left w:val="single" w:color="auto" w:sz="4" w:space="0"/>
              <w:bottom w:val="single" w:color="auto" w:sz="4" w:space="0"/>
            </w:tcBorders>
            <w:noWrap w:val="0"/>
            <w:vAlign w:val="center"/>
          </w:tcPr>
          <w:p>
            <w:pPr>
              <w:spacing w:line="240" w:lineRule="exact"/>
              <w:ind w:firstLine="0" w:firstLineChars="0"/>
              <w:rPr>
                <w:rFonts w:hint="eastAsia" w:eastAsia="仿宋"/>
                <w:sz w:val="32"/>
                <w:lang w:val="en-US" w:eastAsia="zh-CN"/>
              </w:rPr>
            </w:pPr>
            <w:r>
              <w:rPr>
                <w:rFonts w:hint="eastAsia" w:ascii="仿宋" w:hAnsi="仿宋" w:eastAsia="仿宋" w:cs="仿宋"/>
                <w:sz w:val="21"/>
                <w:szCs w:val="21"/>
                <w:lang w:val="en-US" w:eastAsia="zh-CN"/>
              </w:rPr>
              <w:t>与对端机构建立通信关系，协商构造测试数据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6" w:hRule="atLeast"/>
          <w:jc w:val="center"/>
        </w:trPr>
        <w:tc>
          <w:tcPr>
            <w:tcW w:w="926" w:type="pct"/>
            <w:vMerge w:val="restart"/>
            <w:tcBorders>
              <w:top w:val="single" w:color="auto" w:sz="4" w:space="0"/>
              <w:right w:val="single" w:color="auto" w:sz="4" w:space="0"/>
            </w:tcBorders>
            <w:noWrap w:val="0"/>
            <w:vAlign w:val="center"/>
          </w:tcPr>
          <w:p>
            <w:pPr>
              <w:spacing w:line="240" w:lineRule="exact"/>
              <w:ind w:firstLine="0" w:firstLineChars="0"/>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20日9:00-9:30</w:t>
            </w:r>
          </w:p>
        </w:tc>
        <w:tc>
          <w:tcPr>
            <w:tcW w:w="1092" w:type="pct"/>
            <w:vMerge w:val="restart"/>
            <w:tcBorders>
              <w:top w:val="single" w:color="auto" w:sz="4" w:space="0"/>
              <w:left w:val="single" w:color="auto" w:sz="4" w:space="0"/>
              <w:right w:val="single" w:color="auto" w:sz="4" w:space="0"/>
            </w:tcBorders>
            <w:noWrap w:val="0"/>
            <w:vAlign w:val="center"/>
          </w:tcPr>
          <w:p>
            <w:pPr>
              <w:spacing w:line="240" w:lineRule="exact"/>
              <w:ind w:firstLine="0" w:firstLineChars="0"/>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场景一：瞬时压力测试</w:t>
            </w:r>
          </w:p>
        </w:tc>
        <w:tc>
          <w:tcPr>
            <w:tcW w:w="2981" w:type="pct"/>
            <w:tcBorders>
              <w:top w:val="single" w:color="auto" w:sz="4" w:space="0"/>
              <w:left w:val="single" w:color="auto" w:sz="4" w:space="0"/>
              <w:bottom w:val="single" w:color="auto" w:sz="4" w:space="0"/>
            </w:tcBorders>
            <w:noWrap w:val="0"/>
            <w:vAlign w:val="center"/>
          </w:tcPr>
          <w:p>
            <w:pPr>
              <w:numPr>
                <w:ilvl w:val="0"/>
                <w:numId w:val="0"/>
              </w:numPr>
              <w:spacing w:line="240" w:lineRule="exact"/>
              <w:ind w:firstLine="0" w:firstLineChars="0"/>
              <w:rPr>
                <w:rFonts w:eastAsia="仿宋"/>
                <w:sz w:val="32"/>
              </w:rPr>
            </w:pPr>
            <w:r>
              <w:rPr>
                <w:rFonts w:hint="eastAsia" w:ascii="仿宋" w:hAnsi="仿宋" w:eastAsia="仿宋" w:cs="仿宋"/>
                <w:color w:val="auto"/>
                <w:sz w:val="21"/>
                <w:szCs w:val="21"/>
                <w:lang w:val="en-US" w:eastAsia="zh-CN"/>
              </w:rPr>
              <w:t>银证系统根据历史</w:t>
            </w:r>
            <w:r>
              <w:rPr>
                <w:rFonts w:hint="eastAsia" w:ascii="仿宋" w:hAnsi="仿宋" w:eastAsia="仿宋" w:cs="仿宋"/>
                <w:sz w:val="21"/>
                <w:szCs w:val="21"/>
                <w:lang w:val="en-US" w:eastAsia="zh-CN"/>
              </w:rPr>
              <w:t>最大转账及查询速率峰值，</w:t>
            </w:r>
            <w:r>
              <w:rPr>
                <w:rFonts w:hint="eastAsia" w:ascii="仿宋" w:hAnsi="仿宋" w:eastAsia="仿宋" w:cs="仿宋"/>
                <w:sz w:val="21"/>
                <w:szCs w:val="21"/>
              </w:rPr>
              <w:t>持续报业务包至3-5倍峰值，维持 300 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8" w:hRule="atLeast"/>
          <w:jc w:val="center"/>
        </w:trPr>
        <w:tc>
          <w:tcPr>
            <w:tcW w:w="926" w:type="pct"/>
            <w:vMerge w:val="continue"/>
            <w:tcBorders>
              <w:right w:val="single" w:color="auto" w:sz="4" w:space="0"/>
            </w:tcBorders>
            <w:noWrap w:val="0"/>
            <w:vAlign w:val="center"/>
          </w:tcPr>
          <w:p>
            <w:pPr>
              <w:spacing w:line="240" w:lineRule="exact"/>
              <w:ind w:firstLine="0" w:firstLineChars="0"/>
              <w:jc w:val="center"/>
              <w:rPr>
                <w:rFonts w:hint="eastAsia" w:ascii="仿宋" w:hAnsi="仿宋" w:eastAsia="仿宋" w:cs="仿宋"/>
                <w:sz w:val="21"/>
                <w:szCs w:val="21"/>
                <w:lang w:val="en-US" w:eastAsia="zh-CN"/>
              </w:rPr>
            </w:pPr>
          </w:p>
        </w:tc>
        <w:tc>
          <w:tcPr>
            <w:tcW w:w="1092" w:type="pct"/>
            <w:vMerge w:val="continue"/>
            <w:tcBorders>
              <w:left w:val="single" w:color="auto" w:sz="4" w:space="0"/>
              <w:right w:val="single" w:color="auto" w:sz="4" w:space="0"/>
            </w:tcBorders>
            <w:noWrap w:val="0"/>
            <w:vAlign w:val="center"/>
          </w:tcPr>
          <w:p>
            <w:pPr>
              <w:spacing w:line="240" w:lineRule="exact"/>
              <w:ind w:firstLine="0" w:firstLineChars="0"/>
              <w:rPr>
                <w:rFonts w:hint="default" w:ascii="仿宋" w:hAnsi="仿宋" w:eastAsia="仿宋" w:cs="仿宋"/>
                <w:sz w:val="21"/>
                <w:szCs w:val="21"/>
                <w:lang w:val="en-US" w:eastAsia="zh-CN"/>
              </w:rPr>
            </w:pPr>
          </w:p>
        </w:tc>
        <w:tc>
          <w:tcPr>
            <w:tcW w:w="2981" w:type="pct"/>
            <w:tcBorders>
              <w:top w:val="single" w:color="auto" w:sz="4" w:space="0"/>
              <w:left w:val="single" w:color="auto" w:sz="4" w:space="0"/>
              <w:bottom w:val="single" w:color="auto" w:sz="4" w:space="0"/>
            </w:tcBorders>
            <w:noWrap w:val="0"/>
            <w:vAlign w:val="center"/>
          </w:tcPr>
          <w:p>
            <w:pPr>
              <w:numPr>
                <w:ilvl w:val="0"/>
                <w:numId w:val="0"/>
              </w:numPr>
              <w:spacing w:line="240" w:lineRule="exact"/>
              <w:ind w:firstLine="0" w:firstLineChars="0"/>
              <w:rPr>
                <w:rFonts w:eastAsia="仿宋"/>
                <w:sz w:val="32"/>
              </w:rPr>
            </w:pPr>
            <w:r>
              <w:rPr>
                <w:rFonts w:hint="eastAsia" w:ascii="仿宋" w:hAnsi="仿宋" w:eastAsia="仿宋" w:cs="仿宋"/>
                <w:sz w:val="21"/>
                <w:szCs w:val="21"/>
                <w:lang w:val="en-US" w:eastAsia="zh-CN"/>
              </w:rPr>
              <w:t>统计300秒内报入的转账和查询总请求数、与预期响应相符的转账和查询请求数，即正确请求数，计算转账和查询正确率（正确请求数/总请求数）*100%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jc w:val="center"/>
        </w:trPr>
        <w:tc>
          <w:tcPr>
            <w:tcW w:w="926" w:type="pct"/>
            <w:vMerge w:val="continue"/>
            <w:tcBorders>
              <w:bottom w:val="single" w:color="auto" w:sz="4" w:space="0"/>
              <w:right w:val="single" w:color="auto" w:sz="4" w:space="0"/>
            </w:tcBorders>
            <w:noWrap w:val="0"/>
            <w:vAlign w:val="center"/>
          </w:tcPr>
          <w:p>
            <w:pPr>
              <w:spacing w:line="240" w:lineRule="exact"/>
              <w:ind w:firstLine="0" w:firstLineChars="0"/>
              <w:jc w:val="center"/>
              <w:rPr>
                <w:rFonts w:hint="eastAsia" w:ascii="仿宋" w:hAnsi="仿宋" w:eastAsia="仿宋" w:cs="仿宋"/>
                <w:sz w:val="21"/>
                <w:szCs w:val="21"/>
                <w:lang w:val="en-US" w:eastAsia="zh-CN"/>
              </w:rPr>
            </w:pPr>
          </w:p>
        </w:tc>
        <w:tc>
          <w:tcPr>
            <w:tcW w:w="1092" w:type="pct"/>
            <w:vMerge w:val="continue"/>
            <w:tcBorders>
              <w:left w:val="single" w:color="auto" w:sz="4" w:space="0"/>
              <w:bottom w:val="single" w:color="auto" w:sz="4" w:space="0"/>
              <w:right w:val="single" w:color="auto" w:sz="4" w:space="0"/>
            </w:tcBorders>
            <w:noWrap w:val="0"/>
            <w:vAlign w:val="center"/>
          </w:tcPr>
          <w:p>
            <w:pPr>
              <w:spacing w:line="240" w:lineRule="exact"/>
              <w:ind w:firstLine="0" w:firstLineChars="0"/>
              <w:rPr>
                <w:rFonts w:hint="default" w:ascii="仿宋" w:hAnsi="仿宋" w:eastAsia="仿宋" w:cs="仿宋"/>
                <w:sz w:val="21"/>
                <w:szCs w:val="21"/>
                <w:lang w:val="en-US" w:eastAsia="zh-CN"/>
              </w:rPr>
            </w:pPr>
          </w:p>
        </w:tc>
        <w:tc>
          <w:tcPr>
            <w:tcW w:w="2981" w:type="pct"/>
            <w:tcBorders>
              <w:top w:val="single" w:color="auto" w:sz="4" w:space="0"/>
              <w:left w:val="single" w:color="auto" w:sz="4" w:space="0"/>
              <w:bottom w:val="single" w:color="auto" w:sz="4" w:space="0"/>
            </w:tcBorders>
            <w:noWrap w:val="0"/>
            <w:vAlign w:val="center"/>
          </w:tcPr>
          <w:p>
            <w:pPr>
              <w:numPr>
                <w:ilvl w:val="0"/>
                <w:numId w:val="0"/>
              </w:numPr>
              <w:spacing w:line="240" w:lineRule="exact"/>
              <w:ind w:firstLine="0" w:firstLineChars="0"/>
              <w:rPr>
                <w:rFonts w:eastAsia="仿宋"/>
                <w:sz w:val="32"/>
              </w:rPr>
            </w:pPr>
            <w:r>
              <w:rPr>
                <w:rFonts w:hint="eastAsia" w:ascii="仿宋" w:hAnsi="仿宋" w:eastAsia="仿宋" w:cs="仿宋"/>
                <w:sz w:val="21"/>
                <w:szCs w:val="21"/>
                <w:lang w:val="en-US" w:eastAsia="zh-CN"/>
              </w:rPr>
              <w:t>统计报入过程中业务响应时间、转账及查询峰值吞吐率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6" w:hRule="atLeast"/>
          <w:jc w:val="center"/>
        </w:trPr>
        <w:tc>
          <w:tcPr>
            <w:tcW w:w="926" w:type="pct"/>
            <w:vMerge w:val="restart"/>
            <w:tcBorders>
              <w:top w:val="single" w:color="auto" w:sz="4" w:space="0"/>
              <w:right w:val="single" w:color="auto" w:sz="4" w:space="0"/>
            </w:tcBorders>
            <w:noWrap w:val="0"/>
            <w:vAlign w:val="center"/>
          </w:tcPr>
          <w:p>
            <w:pPr>
              <w:spacing w:line="240" w:lineRule="exact"/>
              <w:ind w:firstLine="0" w:firstLineChars="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20日10:00-11:00</w:t>
            </w:r>
          </w:p>
        </w:tc>
        <w:tc>
          <w:tcPr>
            <w:tcW w:w="1092" w:type="pct"/>
            <w:vMerge w:val="restart"/>
            <w:tcBorders>
              <w:top w:val="single" w:color="auto" w:sz="4" w:space="0"/>
              <w:left w:val="single" w:color="auto" w:sz="4" w:space="0"/>
              <w:right w:val="single" w:color="auto" w:sz="4" w:space="0"/>
            </w:tcBorders>
            <w:noWrap w:val="0"/>
            <w:vAlign w:val="center"/>
          </w:tcPr>
          <w:p>
            <w:pPr>
              <w:spacing w:line="240" w:lineRule="exact"/>
              <w:ind w:firstLine="0" w:firstLineChars="0"/>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场景二：单日平均峰值压力测试</w:t>
            </w:r>
          </w:p>
          <w:p>
            <w:pPr>
              <w:spacing w:line="240" w:lineRule="exact"/>
              <w:ind w:firstLine="0" w:firstLineChars="0"/>
              <w:rPr>
                <w:rFonts w:hint="eastAsia" w:ascii="仿宋" w:hAnsi="仿宋" w:eastAsia="仿宋" w:cs="仿宋"/>
                <w:sz w:val="21"/>
                <w:szCs w:val="21"/>
                <w:lang w:val="en-US" w:eastAsia="zh-CN"/>
              </w:rPr>
            </w:pPr>
          </w:p>
        </w:tc>
        <w:tc>
          <w:tcPr>
            <w:tcW w:w="2981" w:type="pct"/>
            <w:tcBorders>
              <w:top w:val="single" w:color="auto" w:sz="4" w:space="0"/>
              <w:left w:val="single" w:color="auto" w:sz="4" w:space="0"/>
              <w:bottom w:val="single" w:color="auto" w:sz="4" w:space="0"/>
            </w:tcBorders>
            <w:noWrap w:val="0"/>
            <w:vAlign w:val="center"/>
          </w:tcPr>
          <w:p>
            <w:pPr>
              <w:numPr>
                <w:ilvl w:val="0"/>
                <w:numId w:val="0"/>
              </w:numPr>
              <w:spacing w:line="240" w:lineRule="exact"/>
              <w:ind w:firstLine="0" w:firstLineChars="0"/>
              <w:rPr>
                <w:rFonts w:eastAsia="仿宋"/>
                <w:sz w:val="32"/>
              </w:rPr>
            </w:pPr>
            <w:r>
              <w:rPr>
                <w:rFonts w:hint="eastAsia" w:ascii="仿宋" w:hAnsi="仿宋" w:eastAsia="仿宋" w:cs="仿宋"/>
                <w:color w:val="auto"/>
                <w:sz w:val="21"/>
                <w:szCs w:val="21"/>
                <w:lang w:val="en-US" w:eastAsia="zh-CN"/>
              </w:rPr>
              <w:t>银证系统以不低于历史集中交易时间段内最大单日平均转账和查询速率峰值的压力持续报入业务包60分钟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0" w:hRule="atLeast"/>
          <w:jc w:val="center"/>
        </w:trPr>
        <w:tc>
          <w:tcPr>
            <w:tcW w:w="926" w:type="pct"/>
            <w:vMerge w:val="continue"/>
            <w:tcBorders>
              <w:right w:val="single" w:color="auto" w:sz="4" w:space="0"/>
            </w:tcBorders>
            <w:noWrap w:val="0"/>
            <w:vAlign w:val="center"/>
          </w:tcPr>
          <w:p>
            <w:pPr>
              <w:spacing w:line="240" w:lineRule="exact"/>
              <w:ind w:firstLine="0" w:firstLineChars="0"/>
              <w:jc w:val="center"/>
              <w:rPr>
                <w:rFonts w:hint="eastAsia" w:ascii="仿宋" w:hAnsi="仿宋" w:eastAsia="仿宋" w:cs="仿宋"/>
                <w:sz w:val="21"/>
                <w:szCs w:val="21"/>
                <w:lang w:val="en-US" w:eastAsia="zh-CN"/>
              </w:rPr>
            </w:pPr>
          </w:p>
        </w:tc>
        <w:tc>
          <w:tcPr>
            <w:tcW w:w="1092" w:type="pct"/>
            <w:vMerge w:val="continue"/>
            <w:tcBorders>
              <w:left w:val="single" w:color="auto" w:sz="4" w:space="0"/>
              <w:right w:val="single" w:color="auto" w:sz="4" w:space="0"/>
            </w:tcBorders>
            <w:noWrap w:val="0"/>
            <w:vAlign w:val="center"/>
          </w:tcPr>
          <w:p>
            <w:pPr>
              <w:spacing w:line="240" w:lineRule="exact"/>
              <w:ind w:firstLine="0" w:firstLineChars="0"/>
              <w:rPr>
                <w:rFonts w:hint="eastAsia" w:ascii="仿宋" w:hAnsi="仿宋" w:eastAsia="仿宋" w:cs="仿宋"/>
                <w:sz w:val="21"/>
                <w:szCs w:val="21"/>
                <w:lang w:val="en-US" w:eastAsia="zh-CN"/>
              </w:rPr>
            </w:pPr>
          </w:p>
        </w:tc>
        <w:tc>
          <w:tcPr>
            <w:tcW w:w="2981" w:type="pct"/>
            <w:tcBorders>
              <w:top w:val="single" w:color="auto" w:sz="4" w:space="0"/>
              <w:left w:val="single" w:color="auto" w:sz="4" w:space="0"/>
              <w:bottom w:val="single" w:color="auto" w:sz="4" w:space="0"/>
            </w:tcBorders>
            <w:noWrap w:val="0"/>
            <w:vAlign w:val="center"/>
          </w:tcPr>
          <w:p>
            <w:pPr>
              <w:numPr>
                <w:ilvl w:val="0"/>
                <w:numId w:val="0"/>
              </w:numPr>
              <w:spacing w:line="240" w:lineRule="exact"/>
              <w:ind w:firstLine="0" w:firstLineChars="0"/>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统计60分钟内报入的转账和查询总请求数、与预期响应相符的转账和查询请求数，即正确请求数，计算转账和查询正确率（正确请求数/总请求数）*100%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atLeast"/>
          <w:jc w:val="center"/>
        </w:trPr>
        <w:tc>
          <w:tcPr>
            <w:tcW w:w="926" w:type="pct"/>
            <w:vMerge w:val="continue"/>
            <w:tcBorders>
              <w:right w:val="single" w:color="auto" w:sz="4" w:space="0"/>
            </w:tcBorders>
            <w:noWrap w:val="0"/>
            <w:vAlign w:val="center"/>
          </w:tcPr>
          <w:p>
            <w:pPr>
              <w:spacing w:line="240" w:lineRule="exact"/>
              <w:ind w:firstLine="0" w:firstLineChars="0"/>
              <w:jc w:val="center"/>
              <w:rPr>
                <w:rFonts w:hint="eastAsia" w:ascii="仿宋" w:hAnsi="仿宋" w:eastAsia="仿宋" w:cs="仿宋"/>
                <w:sz w:val="21"/>
                <w:szCs w:val="21"/>
                <w:lang w:val="en-US" w:eastAsia="zh-CN"/>
              </w:rPr>
            </w:pPr>
          </w:p>
        </w:tc>
        <w:tc>
          <w:tcPr>
            <w:tcW w:w="1092" w:type="pct"/>
            <w:vMerge w:val="continue"/>
            <w:tcBorders>
              <w:left w:val="single" w:color="auto" w:sz="4" w:space="0"/>
              <w:right w:val="single" w:color="auto" w:sz="4" w:space="0"/>
            </w:tcBorders>
            <w:noWrap w:val="0"/>
            <w:vAlign w:val="center"/>
          </w:tcPr>
          <w:p>
            <w:pPr>
              <w:spacing w:line="240" w:lineRule="exact"/>
              <w:ind w:firstLine="0" w:firstLineChars="0"/>
              <w:rPr>
                <w:rFonts w:hint="eastAsia" w:ascii="仿宋" w:hAnsi="仿宋" w:eastAsia="仿宋" w:cs="仿宋"/>
                <w:sz w:val="21"/>
                <w:szCs w:val="21"/>
                <w:lang w:val="en-US" w:eastAsia="zh-CN"/>
              </w:rPr>
            </w:pPr>
          </w:p>
        </w:tc>
        <w:tc>
          <w:tcPr>
            <w:tcW w:w="2981" w:type="pct"/>
            <w:tcBorders>
              <w:top w:val="single" w:color="auto" w:sz="4" w:space="0"/>
              <w:left w:val="single" w:color="auto" w:sz="4" w:space="0"/>
              <w:bottom w:val="single" w:color="auto" w:sz="4" w:space="0"/>
            </w:tcBorders>
            <w:noWrap w:val="0"/>
            <w:vAlign w:val="center"/>
          </w:tcPr>
          <w:p>
            <w:pPr>
              <w:numPr>
                <w:ilvl w:val="0"/>
                <w:numId w:val="0"/>
              </w:numPr>
              <w:spacing w:line="240" w:lineRule="exact"/>
              <w:ind w:firstLine="0" w:firstLineChars="0"/>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统计报入过程中每秒的响应吞吐量、业务平均响应时间、转账及查询峰值吞吐率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atLeast"/>
          <w:jc w:val="center"/>
        </w:trPr>
        <w:tc>
          <w:tcPr>
            <w:tcW w:w="926" w:type="pct"/>
            <w:vMerge w:val="continue"/>
            <w:tcBorders>
              <w:bottom w:val="single" w:color="auto" w:sz="4" w:space="0"/>
              <w:right w:val="single" w:color="auto" w:sz="4" w:space="0"/>
            </w:tcBorders>
            <w:noWrap w:val="0"/>
            <w:vAlign w:val="center"/>
          </w:tcPr>
          <w:p>
            <w:pPr>
              <w:spacing w:line="240" w:lineRule="exact"/>
              <w:ind w:firstLine="0" w:firstLineChars="0"/>
              <w:jc w:val="center"/>
              <w:rPr>
                <w:rFonts w:hint="eastAsia" w:ascii="仿宋" w:hAnsi="仿宋" w:eastAsia="仿宋" w:cs="仿宋"/>
                <w:sz w:val="21"/>
                <w:szCs w:val="21"/>
                <w:lang w:val="en-US" w:eastAsia="zh-CN"/>
              </w:rPr>
            </w:pPr>
          </w:p>
        </w:tc>
        <w:tc>
          <w:tcPr>
            <w:tcW w:w="1092" w:type="pct"/>
            <w:vMerge w:val="continue"/>
            <w:tcBorders>
              <w:left w:val="single" w:color="auto" w:sz="4" w:space="0"/>
              <w:bottom w:val="single" w:color="auto" w:sz="4" w:space="0"/>
              <w:right w:val="single" w:color="auto" w:sz="4" w:space="0"/>
            </w:tcBorders>
            <w:noWrap w:val="0"/>
            <w:vAlign w:val="center"/>
          </w:tcPr>
          <w:p>
            <w:pPr>
              <w:spacing w:line="240" w:lineRule="exact"/>
              <w:ind w:firstLine="0" w:firstLineChars="0"/>
              <w:rPr>
                <w:rFonts w:hint="eastAsia" w:ascii="仿宋" w:hAnsi="仿宋" w:eastAsia="仿宋" w:cs="仿宋"/>
                <w:sz w:val="21"/>
                <w:szCs w:val="21"/>
                <w:lang w:val="en-US" w:eastAsia="zh-CN"/>
              </w:rPr>
            </w:pPr>
          </w:p>
        </w:tc>
        <w:tc>
          <w:tcPr>
            <w:tcW w:w="2981" w:type="pct"/>
            <w:tcBorders>
              <w:top w:val="single" w:color="auto" w:sz="4" w:space="0"/>
              <w:left w:val="single" w:color="auto" w:sz="4" w:space="0"/>
              <w:bottom w:val="single" w:color="auto" w:sz="4" w:space="0"/>
            </w:tcBorders>
            <w:noWrap w:val="0"/>
            <w:vAlign w:val="center"/>
          </w:tcPr>
          <w:p>
            <w:pPr>
              <w:numPr>
                <w:ilvl w:val="0"/>
                <w:numId w:val="0"/>
              </w:numPr>
              <w:spacing w:line="240" w:lineRule="exact"/>
              <w:ind w:firstLine="0" w:firstLineChars="0"/>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统计与业务处理相关模块峰值资源占用情况（CPU、磁盘、内存、上行网络带宽、下行网络带宽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4" w:hRule="atLeast"/>
          <w:jc w:val="center"/>
        </w:trPr>
        <w:tc>
          <w:tcPr>
            <w:tcW w:w="926" w:type="pct"/>
            <w:vMerge w:val="restart"/>
            <w:tcBorders>
              <w:top w:val="single" w:color="auto" w:sz="4" w:space="0"/>
              <w:right w:val="single" w:color="auto" w:sz="4" w:space="0"/>
            </w:tcBorders>
            <w:noWrap w:val="0"/>
            <w:vAlign w:val="center"/>
          </w:tcPr>
          <w:p>
            <w:pPr>
              <w:spacing w:line="240" w:lineRule="exact"/>
              <w:ind w:firstLine="0" w:firstLineChars="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20日11:30-12:00</w:t>
            </w:r>
          </w:p>
        </w:tc>
        <w:tc>
          <w:tcPr>
            <w:tcW w:w="1092" w:type="pct"/>
            <w:vMerge w:val="restart"/>
            <w:tcBorders>
              <w:top w:val="single" w:color="auto" w:sz="4" w:space="0"/>
              <w:left w:val="single" w:color="auto" w:sz="4" w:space="0"/>
              <w:right w:val="single" w:color="auto" w:sz="4" w:space="0"/>
            </w:tcBorders>
            <w:noWrap w:val="0"/>
            <w:vAlign w:val="center"/>
          </w:tcPr>
          <w:p>
            <w:pPr>
              <w:spacing w:line="240" w:lineRule="exact"/>
              <w:ind w:firstLine="0" w:firstLineChars="0"/>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场景三：单日容量压力测试</w:t>
            </w:r>
          </w:p>
          <w:p>
            <w:pPr>
              <w:spacing w:line="240" w:lineRule="exact"/>
              <w:ind w:firstLine="0" w:firstLineChars="0"/>
              <w:rPr>
                <w:rFonts w:hint="eastAsia" w:ascii="仿宋" w:hAnsi="仿宋" w:eastAsia="仿宋" w:cs="仿宋"/>
                <w:sz w:val="21"/>
                <w:szCs w:val="21"/>
                <w:lang w:val="en-US" w:eastAsia="zh-CN"/>
              </w:rPr>
            </w:pPr>
          </w:p>
        </w:tc>
        <w:tc>
          <w:tcPr>
            <w:tcW w:w="2981" w:type="pct"/>
            <w:tcBorders>
              <w:top w:val="single" w:color="auto" w:sz="4" w:space="0"/>
              <w:left w:val="single" w:color="auto" w:sz="4" w:space="0"/>
              <w:bottom w:val="single" w:color="auto" w:sz="4" w:space="0"/>
            </w:tcBorders>
            <w:noWrap w:val="0"/>
            <w:vAlign w:val="center"/>
          </w:tcPr>
          <w:p>
            <w:pPr>
              <w:numPr>
                <w:ilvl w:val="0"/>
                <w:numId w:val="0"/>
              </w:numPr>
              <w:spacing w:line="240" w:lineRule="exact"/>
              <w:ind w:firstLine="0" w:firstLineChars="0"/>
              <w:rPr>
                <w:rFonts w:eastAsia="仿宋"/>
                <w:sz w:val="32"/>
              </w:rPr>
            </w:pPr>
            <w:r>
              <w:rPr>
                <w:rFonts w:hint="eastAsia" w:ascii="仿宋" w:hAnsi="仿宋" w:eastAsia="仿宋" w:cs="仿宋"/>
                <w:color w:val="auto"/>
                <w:sz w:val="21"/>
                <w:szCs w:val="21"/>
                <w:lang w:val="en-US" w:eastAsia="zh-CN"/>
              </w:rPr>
              <w:t>系统可交易时长内，银证系统持续报入业务包直到历史单日转账和查询总笔数峰值的2-3倍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4" w:hRule="atLeast"/>
          <w:jc w:val="center"/>
        </w:trPr>
        <w:tc>
          <w:tcPr>
            <w:tcW w:w="926" w:type="pct"/>
            <w:vMerge w:val="continue"/>
            <w:tcBorders>
              <w:right w:val="single" w:color="auto" w:sz="4" w:space="0"/>
            </w:tcBorders>
            <w:noWrap w:val="0"/>
            <w:vAlign w:val="center"/>
          </w:tcPr>
          <w:p>
            <w:pPr>
              <w:spacing w:line="240" w:lineRule="exact"/>
              <w:ind w:firstLine="0" w:firstLineChars="0"/>
              <w:jc w:val="center"/>
              <w:rPr>
                <w:rFonts w:hint="eastAsia" w:ascii="仿宋" w:hAnsi="仿宋" w:eastAsia="仿宋" w:cs="仿宋"/>
                <w:sz w:val="21"/>
                <w:szCs w:val="21"/>
                <w:lang w:val="en-US" w:eastAsia="zh-CN"/>
              </w:rPr>
            </w:pPr>
          </w:p>
        </w:tc>
        <w:tc>
          <w:tcPr>
            <w:tcW w:w="1092" w:type="pct"/>
            <w:vMerge w:val="continue"/>
            <w:tcBorders>
              <w:left w:val="single" w:color="auto" w:sz="4" w:space="0"/>
              <w:right w:val="single" w:color="auto" w:sz="4" w:space="0"/>
            </w:tcBorders>
            <w:noWrap w:val="0"/>
            <w:vAlign w:val="center"/>
          </w:tcPr>
          <w:p>
            <w:pPr>
              <w:spacing w:line="240" w:lineRule="exact"/>
              <w:ind w:firstLine="0" w:firstLineChars="0"/>
              <w:rPr>
                <w:rFonts w:hint="eastAsia" w:ascii="仿宋" w:hAnsi="仿宋" w:eastAsia="仿宋" w:cs="仿宋"/>
                <w:sz w:val="21"/>
                <w:szCs w:val="21"/>
                <w:lang w:val="en-US" w:eastAsia="zh-CN"/>
              </w:rPr>
            </w:pPr>
          </w:p>
        </w:tc>
        <w:tc>
          <w:tcPr>
            <w:tcW w:w="2981" w:type="pct"/>
            <w:tcBorders>
              <w:top w:val="single" w:color="auto" w:sz="4" w:space="0"/>
              <w:left w:val="single" w:color="auto" w:sz="4" w:space="0"/>
              <w:bottom w:val="single" w:color="auto" w:sz="4" w:space="0"/>
            </w:tcBorders>
            <w:noWrap w:val="0"/>
            <w:vAlign w:val="center"/>
          </w:tcPr>
          <w:p>
            <w:pPr>
              <w:numPr>
                <w:ilvl w:val="0"/>
                <w:numId w:val="0"/>
              </w:numPr>
              <w:spacing w:line="240" w:lineRule="exact"/>
              <w:ind w:firstLine="0" w:firstLineChars="0"/>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统计系统处理的转账和查询总笔数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4" w:hRule="atLeast"/>
          <w:jc w:val="center"/>
        </w:trPr>
        <w:tc>
          <w:tcPr>
            <w:tcW w:w="926" w:type="pct"/>
            <w:vMerge w:val="continue"/>
            <w:tcBorders>
              <w:bottom w:val="single" w:color="auto" w:sz="4" w:space="0"/>
              <w:right w:val="single" w:color="auto" w:sz="4" w:space="0"/>
            </w:tcBorders>
            <w:noWrap w:val="0"/>
            <w:vAlign w:val="center"/>
          </w:tcPr>
          <w:p>
            <w:pPr>
              <w:spacing w:line="240" w:lineRule="exact"/>
              <w:ind w:firstLine="0" w:firstLineChars="0"/>
              <w:jc w:val="center"/>
              <w:rPr>
                <w:rFonts w:hint="eastAsia" w:ascii="仿宋" w:hAnsi="仿宋" w:eastAsia="仿宋" w:cs="仿宋"/>
                <w:sz w:val="21"/>
                <w:szCs w:val="21"/>
                <w:lang w:val="en-US" w:eastAsia="zh-CN"/>
              </w:rPr>
            </w:pPr>
          </w:p>
        </w:tc>
        <w:tc>
          <w:tcPr>
            <w:tcW w:w="1092" w:type="pct"/>
            <w:vMerge w:val="continue"/>
            <w:tcBorders>
              <w:left w:val="single" w:color="auto" w:sz="4" w:space="0"/>
              <w:bottom w:val="single" w:color="auto" w:sz="4" w:space="0"/>
              <w:right w:val="single" w:color="auto" w:sz="4" w:space="0"/>
            </w:tcBorders>
            <w:noWrap w:val="0"/>
            <w:vAlign w:val="center"/>
          </w:tcPr>
          <w:p>
            <w:pPr>
              <w:spacing w:line="240" w:lineRule="exact"/>
              <w:ind w:firstLine="0" w:firstLineChars="0"/>
              <w:rPr>
                <w:rFonts w:hint="eastAsia" w:ascii="仿宋" w:hAnsi="仿宋" w:eastAsia="仿宋" w:cs="仿宋"/>
                <w:sz w:val="21"/>
                <w:szCs w:val="21"/>
                <w:lang w:val="en-US" w:eastAsia="zh-CN"/>
              </w:rPr>
            </w:pPr>
          </w:p>
        </w:tc>
        <w:tc>
          <w:tcPr>
            <w:tcW w:w="2981" w:type="pct"/>
            <w:tcBorders>
              <w:top w:val="single" w:color="auto" w:sz="4" w:space="0"/>
              <w:left w:val="single" w:color="auto" w:sz="4" w:space="0"/>
              <w:bottom w:val="single" w:color="auto" w:sz="4" w:space="0"/>
            </w:tcBorders>
            <w:noWrap w:val="0"/>
            <w:vAlign w:val="center"/>
          </w:tcPr>
          <w:p>
            <w:pPr>
              <w:numPr>
                <w:ilvl w:val="0"/>
                <w:numId w:val="0"/>
              </w:numPr>
              <w:spacing w:line="240" w:lineRule="exact"/>
              <w:ind w:firstLine="0" w:firstLineChars="0"/>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统计转账及查询正确率、业务平均响应时间、转账和查询总笔数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4" w:hRule="atLeast"/>
          <w:jc w:val="center"/>
        </w:trPr>
        <w:tc>
          <w:tcPr>
            <w:tcW w:w="926" w:type="pct"/>
            <w:tcBorders>
              <w:top w:val="single" w:color="auto" w:sz="4" w:space="0"/>
              <w:bottom w:val="single" w:color="auto" w:sz="4" w:space="0"/>
              <w:right w:val="single" w:color="auto" w:sz="4" w:space="0"/>
            </w:tcBorders>
            <w:noWrap w:val="0"/>
            <w:vAlign w:val="center"/>
          </w:tcPr>
          <w:p>
            <w:pPr>
              <w:spacing w:line="240" w:lineRule="exact"/>
              <w:ind w:firstLine="0" w:firstLineChars="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20日9:00-15:00</w:t>
            </w:r>
          </w:p>
        </w:tc>
        <w:tc>
          <w:tcPr>
            <w:tcW w:w="1092" w:type="pct"/>
            <w:tcBorders>
              <w:top w:val="single" w:color="auto" w:sz="4" w:space="0"/>
              <w:left w:val="single" w:color="auto" w:sz="4" w:space="0"/>
              <w:bottom w:val="single" w:color="auto" w:sz="4" w:space="0"/>
              <w:right w:val="single" w:color="auto" w:sz="4" w:space="0"/>
            </w:tcBorders>
            <w:noWrap w:val="0"/>
            <w:vAlign w:val="center"/>
          </w:tcPr>
          <w:p>
            <w:pPr>
              <w:spacing w:line="240" w:lineRule="exact"/>
              <w:ind w:firstLine="0" w:firstLineChars="0"/>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其他场景</w:t>
            </w:r>
          </w:p>
        </w:tc>
        <w:tc>
          <w:tcPr>
            <w:tcW w:w="2981" w:type="pct"/>
            <w:tcBorders>
              <w:top w:val="single" w:color="auto" w:sz="4" w:space="0"/>
              <w:left w:val="single" w:color="auto" w:sz="4" w:space="0"/>
              <w:bottom w:val="single" w:color="auto" w:sz="4" w:space="0"/>
            </w:tcBorders>
            <w:noWrap w:val="0"/>
            <w:vAlign w:val="center"/>
          </w:tcPr>
          <w:p>
            <w:pPr>
              <w:numPr>
                <w:ilvl w:val="0"/>
                <w:numId w:val="0"/>
              </w:numPr>
              <w:spacing w:line="240" w:lineRule="exact"/>
              <w:ind w:firstLine="0" w:firstLineChars="0"/>
              <w:rPr>
                <w:rFonts w:hint="default"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参测单位可根据实际业务需求进行其他场景的测试</w:t>
            </w:r>
          </w:p>
        </w:tc>
      </w:tr>
    </w:tbl>
    <w:p>
      <w:pPr>
        <w:widowControl w:val="0"/>
        <w:numPr>
          <w:ilvl w:val="0"/>
          <w:numId w:val="1"/>
        </w:numPr>
        <w:adjustRightInd w:val="0"/>
        <w:snapToGrid w:val="0"/>
        <w:spacing w:after="0" w:line="560" w:lineRule="exact"/>
        <w:ind w:firstLine="640" w:firstLineChars="200"/>
        <w:jc w:val="both"/>
        <w:outlineLvl w:val="0"/>
        <w:rPr>
          <w:rFonts w:hint="eastAsia" w:ascii="黑体" w:hAnsi="黑体" w:eastAsia="黑体" w:cs="黑体"/>
          <w:bCs/>
          <w:color w:val="000000"/>
          <w:kern w:val="2"/>
          <w:sz w:val="32"/>
          <w:szCs w:val="32"/>
          <w:lang w:val="en-US" w:eastAsia="zh-CN" w:bidi="ar-SA"/>
        </w:rPr>
      </w:pPr>
      <w:r>
        <w:rPr>
          <w:rFonts w:hint="eastAsia" w:ascii="黑体" w:hAnsi="黑体" w:eastAsia="黑体" w:cs="黑体"/>
          <w:bCs/>
          <w:color w:val="000000"/>
          <w:kern w:val="2"/>
          <w:sz w:val="32"/>
          <w:szCs w:val="32"/>
          <w:lang w:val="en-US" w:eastAsia="zh-CN" w:bidi="ar-SA"/>
        </w:rPr>
        <w:t>测试准备</w:t>
      </w:r>
    </w:p>
    <w:p>
      <w:pPr>
        <w:widowControl w:val="0"/>
        <w:numPr>
          <w:ilvl w:val="0"/>
          <w:numId w:val="3"/>
        </w:numPr>
        <w:spacing w:line="560" w:lineRule="exact"/>
        <w:ind w:left="0" w:leftChars="0" w:firstLine="420" w:firstLineChars="0"/>
        <w:jc w:val="both"/>
        <w:rPr>
          <w:rFonts w:hint="eastAsia" w:ascii="Times New Roman" w:hAnsi="Times New Roman" w:eastAsia="仿宋" w:cs="Times New Roman"/>
          <w:kern w:val="2"/>
          <w:sz w:val="32"/>
          <w:szCs w:val="24"/>
          <w:lang w:val="en-US" w:eastAsia="zh-CN" w:bidi="ar-SA"/>
        </w:rPr>
      </w:pPr>
      <w:r>
        <w:rPr>
          <w:rFonts w:hint="eastAsia" w:ascii="Times New Roman" w:hAnsi="Times New Roman" w:eastAsia="仿宋" w:cs="Times New Roman"/>
          <w:kern w:val="2"/>
          <w:sz w:val="32"/>
          <w:szCs w:val="24"/>
          <w:lang w:val="en-US" w:eastAsia="zh-CN" w:bidi="ar-SA"/>
        </w:rPr>
        <w:t>本次测试在FDEP专线测试环境中进行，参测单位需使用测试客户端通过专线接入测试环境；</w:t>
      </w:r>
    </w:p>
    <w:p>
      <w:pPr>
        <w:widowControl w:val="0"/>
        <w:numPr>
          <w:ilvl w:val="0"/>
          <w:numId w:val="3"/>
        </w:numPr>
        <w:spacing w:line="560" w:lineRule="exact"/>
        <w:ind w:left="0" w:leftChars="0" w:firstLine="420" w:firstLineChars="0"/>
        <w:jc w:val="both"/>
        <w:rPr>
          <w:rFonts w:hint="eastAsia" w:ascii="Times New Roman" w:hAnsi="Times New Roman" w:eastAsia="仿宋" w:cs="Times New Roman"/>
          <w:kern w:val="2"/>
          <w:sz w:val="32"/>
          <w:szCs w:val="24"/>
          <w:lang w:val="en-US" w:eastAsia="zh-CN" w:bidi="ar-SA"/>
        </w:rPr>
      </w:pPr>
      <w:r>
        <w:rPr>
          <w:rFonts w:hint="eastAsia" w:ascii="Times New Roman" w:hAnsi="Times New Roman" w:eastAsia="仿宋" w:cs="Times New Roman"/>
          <w:kern w:val="2"/>
          <w:sz w:val="32"/>
          <w:szCs w:val="24"/>
          <w:lang w:val="en-US" w:eastAsia="zh-CN" w:bidi="ar-SA"/>
        </w:rPr>
        <w:t>参测单位务必在测试前开通网络策略，确保客户端能正常访问测试服务器172.100.101.11-14的7001端口；</w:t>
      </w:r>
    </w:p>
    <w:p>
      <w:pPr>
        <w:widowControl w:val="0"/>
        <w:numPr>
          <w:ilvl w:val="0"/>
          <w:numId w:val="3"/>
        </w:numPr>
        <w:spacing w:line="560" w:lineRule="exact"/>
        <w:ind w:left="0" w:leftChars="0" w:firstLine="420" w:firstLineChars="0"/>
        <w:jc w:val="both"/>
        <w:rPr>
          <w:rFonts w:hint="eastAsia" w:ascii="黑体" w:hAnsi="黑体" w:eastAsia="黑体" w:cs="黑体"/>
          <w:bCs/>
          <w:color w:val="000000"/>
          <w:kern w:val="2"/>
          <w:sz w:val="32"/>
          <w:szCs w:val="32"/>
          <w:lang w:val="en-US" w:eastAsia="zh-CN" w:bidi="ar-SA"/>
        </w:rPr>
      </w:pPr>
      <w:r>
        <w:rPr>
          <w:rFonts w:hint="eastAsia" w:ascii="Times New Roman" w:hAnsi="Times New Roman" w:eastAsia="仿宋" w:cs="Times New Roman"/>
          <w:kern w:val="2"/>
          <w:sz w:val="32"/>
          <w:szCs w:val="24"/>
          <w:lang w:val="en-US" w:eastAsia="zh-CN" w:bidi="ar-SA"/>
        </w:rPr>
        <w:t>各参测单位根据自身技术系统实际情况，制定测试计划和操作流程，测试前自行联系对手方协商构造测试数据，确保双方能在专线测试环境正常处理业务流程。</w:t>
      </w:r>
    </w:p>
    <w:p>
      <w:pPr>
        <w:widowControl w:val="0"/>
        <w:numPr>
          <w:ilvl w:val="0"/>
          <w:numId w:val="1"/>
        </w:numPr>
        <w:adjustRightInd w:val="0"/>
        <w:snapToGrid w:val="0"/>
        <w:spacing w:after="0" w:line="560" w:lineRule="exact"/>
        <w:ind w:firstLine="640" w:firstLineChars="200"/>
        <w:jc w:val="both"/>
        <w:outlineLvl w:val="0"/>
        <w:rPr>
          <w:rFonts w:hint="eastAsia" w:ascii="黑体" w:hAnsi="黑体" w:eastAsia="黑体" w:cs="黑体"/>
          <w:bCs/>
          <w:color w:val="000000"/>
          <w:kern w:val="2"/>
          <w:sz w:val="32"/>
          <w:szCs w:val="32"/>
          <w:lang w:val="en-US" w:eastAsia="zh-CN" w:bidi="ar-SA"/>
        </w:rPr>
      </w:pPr>
      <w:r>
        <w:rPr>
          <w:rFonts w:hint="eastAsia" w:ascii="黑体" w:hAnsi="黑体" w:eastAsia="黑体" w:cs="黑体"/>
          <w:bCs/>
          <w:color w:val="000000"/>
          <w:kern w:val="2"/>
          <w:sz w:val="32"/>
          <w:szCs w:val="32"/>
          <w:lang w:val="en-US" w:eastAsia="zh-CN" w:bidi="ar-SA"/>
        </w:rPr>
        <w:t>注意事项</w:t>
      </w:r>
    </w:p>
    <w:p>
      <w:pPr>
        <w:widowControl w:val="0"/>
        <w:numPr>
          <w:ilvl w:val="0"/>
          <w:numId w:val="0"/>
        </w:numPr>
        <w:adjustRightInd w:val="0"/>
        <w:snapToGrid w:val="0"/>
        <w:spacing w:after="0" w:line="560" w:lineRule="exact"/>
        <w:ind w:leftChars="0" w:firstLine="640" w:firstLineChars="200"/>
        <w:jc w:val="both"/>
        <w:outlineLvl w:val="9"/>
        <w:rPr>
          <w:rFonts w:hint="eastAsia" w:ascii="Times New Roman" w:hAnsi="Times New Roman" w:eastAsia="仿宋" w:cs="Times New Roman"/>
          <w:bCs w:val="0"/>
          <w:kern w:val="2"/>
          <w:sz w:val="32"/>
          <w:szCs w:val="24"/>
          <w:lang w:val="en-US" w:eastAsia="zh-CN" w:bidi="ar-SA"/>
        </w:rPr>
      </w:pPr>
      <w:r>
        <w:rPr>
          <w:rFonts w:hint="eastAsia" w:ascii="Times New Roman" w:hAnsi="Times New Roman" w:eastAsia="仿宋" w:cs="Times New Roman"/>
          <w:bCs w:val="0"/>
          <w:kern w:val="2"/>
          <w:sz w:val="32"/>
          <w:szCs w:val="24"/>
          <w:lang w:val="en-US" w:eastAsia="zh-CN" w:bidi="ar-SA"/>
        </w:rPr>
        <w:t>本次仅在专线测试环境进行测试，请各参测单位务必在测试前检查连接IP，保证接入环境正确</w:t>
      </w:r>
      <w:r>
        <w:rPr>
          <w:rFonts w:hint="eastAsia" w:eastAsia="仿宋" w:cs="Times New Roman"/>
          <w:bCs w:val="0"/>
          <w:kern w:val="2"/>
          <w:sz w:val="32"/>
          <w:szCs w:val="24"/>
          <w:lang w:val="en-US" w:eastAsia="zh-CN" w:bidi="ar-SA"/>
        </w:rPr>
        <w:t>，防止测试数据对生产环境的业务造成影响</w:t>
      </w:r>
      <w:r>
        <w:rPr>
          <w:rFonts w:hint="eastAsia" w:ascii="Times New Roman" w:hAnsi="Times New Roman" w:eastAsia="仿宋" w:cs="Times New Roman"/>
          <w:bCs w:val="0"/>
          <w:kern w:val="2"/>
          <w:sz w:val="32"/>
          <w:szCs w:val="24"/>
          <w:lang w:val="en-US" w:eastAsia="zh-CN" w:bidi="ar-SA"/>
        </w:rPr>
        <w:t>。</w:t>
      </w:r>
    </w:p>
    <w:p>
      <w:pPr>
        <w:widowControl w:val="0"/>
        <w:numPr>
          <w:ilvl w:val="0"/>
          <w:numId w:val="1"/>
        </w:numPr>
        <w:adjustRightInd w:val="0"/>
        <w:snapToGrid w:val="0"/>
        <w:spacing w:after="0" w:line="560" w:lineRule="exact"/>
        <w:ind w:firstLine="640" w:firstLineChars="200"/>
        <w:jc w:val="both"/>
        <w:outlineLvl w:val="0"/>
        <w:rPr>
          <w:rFonts w:hint="eastAsia" w:ascii="黑体" w:hAnsi="黑体" w:eastAsia="黑体" w:cs="黑体"/>
          <w:bCs/>
          <w:color w:val="000000"/>
          <w:kern w:val="2"/>
          <w:sz w:val="32"/>
          <w:szCs w:val="32"/>
          <w:lang w:val="en-US" w:eastAsia="zh-CN" w:bidi="ar-SA"/>
        </w:rPr>
      </w:pPr>
      <w:r>
        <w:rPr>
          <w:rFonts w:hint="eastAsia" w:ascii="黑体" w:hAnsi="黑体" w:eastAsia="黑体" w:cs="黑体"/>
          <w:bCs/>
          <w:color w:val="000000"/>
          <w:kern w:val="2"/>
          <w:sz w:val="32"/>
          <w:szCs w:val="32"/>
          <w:lang w:val="en-US" w:eastAsia="zh-CN" w:bidi="ar-SA"/>
        </w:rPr>
        <w:t>测试要求</w:t>
      </w:r>
    </w:p>
    <w:p>
      <w:pPr>
        <w:numPr>
          <w:ilvl w:val="0"/>
          <w:numId w:val="0"/>
        </w:numPr>
        <w:tabs>
          <w:tab w:val="left" w:pos="888"/>
        </w:tabs>
        <w:adjustRightInd w:val="0"/>
        <w:snapToGrid w:val="0"/>
        <w:spacing w:line="560" w:lineRule="exact"/>
        <w:ind w:leftChars="0"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1.</w:t>
      </w:r>
      <w:r>
        <w:rPr>
          <w:rFonts w:hint="eastAsia" w:ascii="仿宋" w:hAnsi="仿宋" w:eastAsia="仿宋" w:cs="仿宋"/>
          <w:sz w:val="32"/>
          <w:szCs w:val="32"/>
        </w:rPr>
        <w:t>请各</w:t>
      </w:r>
      <w:r>
        <w:rPr>
          <w:rFonts w:hint="eastAsia" w:ascii="仿宋" w:hAnsi="仿宋" w:eastAsia="仿宋" w:cs="仿宋"/>
          <w:sz w:val="32"/>
          <w:szCs w:val="32"/>
          <w:lang w:val="en-US" w:eastAsia="zh-CN"/>
        </w:rPr>
        <w:t>FDEP银证用户务必</w:t>
      </w:r>
      <w:r>
        <w:rPr>
          <w:rFonts w:hint="eastAsia" w:ascii="仿宋" w:hAnsi="仿宋" w:eastAsia="仿宋" w:cs="仿宋"/>
          <w:sz w:val="32"/>
          <w:szCs w:val="32"/>
        </w:rPr>
        <w:t>参加测试，并指定专人负责本次测试。</w:t>
      </w:r>
    </w:p>
    <w:p>
      <w:pPr>
        <w:numPr>
          <w:ilvl w:val="0"/>
          <w:numId w:val="0"/>
        </w:numPr>
        <w:tabs>
          <w:tab w:val="left" w:pos="888"/>
        </w:tabs>
        <w:adjustRightInd w:val="0"/>
        <w:snapToGrid w:val="0"/>
        <w:spacing w:line="560" w:lineRule="exact"/>
        <w:ind w:leftChars="0"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2.</w:t>
      </w:r>
      <w:r>
        <w:rPr>
          <w:rFonts w:hint="eastAsia" w:ascii="仿宋" w:hAnsi="仿宋" w:eastAsia="仿宋" w:cs="仿宋"/>
          <w:sz w:val="32"/>
          <w:szCs w:val="32"/>
        </w:rPr>
        <w:t>在测试过程中，请各参测单位</w:t>
      </w:r>
      <w:r>
        <w:rPr>
          <w:rFonts w:hint="eastAsia" w:ascii="仿宋" w:hAnsi="仿宋" w:eastAsia="仿宋" w:cs="仿宋"/>
          <w:sz w:val="32"/>
          <w:szCs w:val="32"/>
          <w:lang w:val="en-US" w:eastAsia="zh-CN"/>
        </w:rPr>
        <w:t>记录</w:t>
      </w:r>
      <w:r>
        <w:rPr>
          <w:rFonts w:hint="eastAsia" w:ascii="仿宋" w:hAnsi="仿宋" w:eastAsia="仿宋" w:cs="仿宋"/>
          <w:sz w:val="32"/>
          <w:szCs w:val="32"/>
        </w:rPr>
        <w:t>测试</w:t>
      </w:r>
      <w:r>
        <w:rPr>
          <w:rFonts w:hint="eastAsia" w:ascii="仿宋" w:hAnsi="仿宋" w:eastAsia="仿宋" w:cs="仿宋"/>
          <w:sz w:val="32"/>
          <w:szCs w:val="32"/>
          <w:lang w:val="en-US" w:eastAsia="zh-CN"/>
        </w:rPr>
        <w:t>数据</w:t>
      </w:r>
      <w:r>
        <w:rPr>
          <w:rFonts w:hint="eastAsia" w:ascii="仿宋" w:hAnsi="仿宋" w:eastAsia="仿宋" w:cs="仿宋"/>
          <w:sz w:val="32"/>
          <w:szCs w:val="32"/>
        </w:rPr>
        <w:t>与结果，检查其正确性。如发现异常现象，请及时</w:t>
      </w:r>
      <w:r>
        <w:rPr>
          <w:rFonts w:hint="eastAsia" w:ascii="仿宋" w:hAnsi="仿宋" w:eastAsia="仿宋" w:cs="仿宋"/>
          <w:sz w:val="32"/>
          <w:szCs w:val="32"/>
          <w:lang w:val="en-US" w:eastAsia="zh-CN"/>
        </w:rPr>
        <w:t>联系深证通</w:t>
      </w:r>
      <w:r>
        <w:rPr>
          <w:rFonts w:hint="eastAsia" w:ascii="仿宋" w:hAnsi="仿宋" w:eastAsia="仿宋" w:cs="仿宋"/>
          <w:sz w:val="32"/>
          <w:szCs w:val="32"/>
        </w:rPr>
        <w:t>。</w:t>
      </w:r>
    </w:p>
    <w:p>
      <w:pPr>
        <w:numPr>
          <w:ilvl w:val="0"/>
          <w:numId w:val="0"/>
        </w:numPr>
        <w:tabs>
          <w:tab w:val="left" w:pos="888"/>
        </w:tabs>
        <w:adjustRightInd w:val="0"/>
        <w:snapToGrid w:val="0"/>
        <w:spacing w:line="560" w:lineRule="exact"/>
        <w:ind w:leftChars="0" w:firstLine="640" w:firstLineChars="200"/>
        <w:rPr>
          <w:rFonts w:hint="eastAsia" w:ascii="仿宋" w:hAnsi="仿宋" w:eastAsia="仿宋" w:cs="仿宋"/>
          <w:sz w:val="32"/>
        </w:rPr>
      </w:pPr>
      <w:r>
        <w:rPr>
          <w:rFonts w:hint="eastAsia" w:ascii="仿宋" w:hAnsi="仿宋" w:eastAsia="仿宋" w:cs="仿宋"/>
          <w:sz w:val="32"/>
          <w:szCs w:val="32"/>
          <w:lang w:val="en-US" w:eastAsia="zh-CN"/>
        </w:rPr>
        <w:t>3.</w:t>
      </w:r>
      <w:r>
        <w:rPr>
          <w:rFonts w:hint="eastAsia" w:ascii="仿宋" w:hAnsi="仿宋" w:eastAsia="仿宋" w:cs="仿宋"/>
          <w:sz w:val="32"/>
          <w:szCs w:val="32"/>
        </w:rPr>
        <w:t>测试完成后，各参测单位</w:t>
      </w:r>
      <w:r>
        <w:rPr>
          <w:rFonts w:hint="eastAsia" w:ascii="Times New Roman" w:hAnsi="Times New Roman" w:eastAsia="仿宋" w:cs="Times New Roman"/>
          <w:sz w:val="32"/>
          <w:lang w:val="en-US" w:eastAsia="zh-CN"/>
        </w:rPr>
        <w:t>需</w:t>
      </w:r>
      <w:r>
        <w:rPr>
          <w:rFonts w:hint="eastAsia" w:eastAsia="仿宋" w:cs="Times New Roman"/>
          <w:sz w:val="32"/>
          <w:lang w:val="en-US" w:eastAsia="zh-CN"/>
        </w:rPr>
        <w:t>参考附件《商业银行(证券公司)银证系统压力测试报告模板》</w:t>
      </w:r>
      <w:r>
        <w:rPr>
          <w:rFonts w:hint="eastAsia" w:ascii="Times New Roman" w:hAnsi="Times New Roman" w:eastAsia="仿宋" w:cs="Times New Roman"/>
          <w:sz w:val="32"/>
          <w:lang w:val="en-US" w:eastAsia="zh-CN"/>
        </w:rPr>
        <w:t>形成测试报告存档，测试报告至少保存5年以上</w:t>
      </w:r>
      <w:r>
        <w:rPr>
          <w:rFonts w:hint="eastAsia" w:ascii="仿宋" w:hAnsi="仿宋" w:eastAsia="仿宋" w:cs="仿宋"/>
          <w:sz w:val="32"/>
          <w:szCs w:val="32"/>
        </w:rPr>
        <w:t>。</w:t>
      </w:r>
    </w:p>
    <w:p>
      <w:pPr>
        <w:widowControl w:val="0"/>
        <w:numPr>
          <w:ilvl w:val="0"/>
          <w:numId w:val="1"/>
        </w:numPr>
        <w:adjustRightInd w:val="0"/>
        <w:snapToGrid w:val="0"/>
        <w:spacing w:after="0" w:line="560" w:lineRule="exact"/>
        <w:ind w:firstLine="640" w:firstLineChars="200"/>
        <w:jc w:val="both"/>
        <w:outlineLvl w:val="0"/>
        <w:rPr>
          <w:rFonts w:hint="eastAsia" w:ascii="黑体" w:hAnsi="黑体" w:eastAsia="黑体" w:cs="黑体"/>
          <w:bCs/>
          <w:color w:val="000000"/>
          <w:kern w:val="2"/>
          <w:sz w:val="32"/>
          <w:szCs w:val="32"/>
          <w:lang w:val="en-US" w:eastAsia="zh-CN" w:bidi="ar-SA"/>
        </w:rPr>
      </w:pPr>
      <w:r>
        <w:rPr>
          <w:rFonts w:hint="eastAsia" w:ascii="黑体" w:hAnsi="黑体" w:eastAsia="黑体" w:cs="黑体"/>
          <w:bCs/>
          <w:color w:val="000000"/>
          <w:kern w:val="2"/>
          <w:sz w:val="32"/>
          <w:szCs w:val="32"/>
          <w:lang w:val="en-US" w:eastAsia="zh-CN" w:bidi="ar-SA"/>
        </w:rPr>
        <w:t>联系方式</w:t>
      </w:r>
    </w:p>
    <w:p>
      <w:pPr>
        <w:widowControl w:val="0"/>
        <w:spacing w:line="560" w:lineRule="exact"/>
        <w:ind w:firstLine="640" w:firstLineChars="200"/>
        <w:jc w:val="both"/>
        <w:rPr>
          <w:rFonts w:hint="eastAsia" w:ascii="仿宋" w:hAnsi="仿宋" w:eastAsia="仿宋" w:cs="仿宋"/>
          <w:kern w:val="0"/>
          <w:sz w:val="32"/>
          <w:szCs w:val="32"/>
          <w:lang w:val="en-US" w:eastAsia="zh-CN" w:bidi="ar-SA"/>
        </w:rPr>
      </w:pPr>
      <w:r>
        <w:rPr>
          <w:rFonts w:hint="eastAsia" w:ascii="仿宋" w:hAnsi="仿宋" w:eastAsia="仿宋" w:cs="仿宋"/>
          <w:kern w:val="0"/>
          <w:sz w:val="32"/>
          <w:szCs w:val="32"/>
          <w:lang w:val="en-US" w:eastAsia="zh-CN" w:bidi="ar-SA"/>
        </w:rPr>
        <w:t>电话：</w:t>
      </w:r>
      <w:r>
        <w:rPr>
          <w:rFonts w:hint="eastAsia" w:ascii="Times New Roman" w:hAnsi="Times New Roman" w:eastAsia="仿宋" w:cs="Times New Roman"/>
          <w:kern w:val="2"/>
          <w:sz w:val="32"/>
          <w:szCs w:val="24"/>
          <w:lang w:val="en-US" w:eastAsia="zh-CN" w:bidi="ar-SA"/>
        </w:rPr>
        <w:t>0755-83182222转FDEP测试</w:t>
      </w:r>
      <w:r>
        <w:rPr>
          <w:rFonts w:hint="eastAsia" w:ascii="仿宋" w:hAnsi="仿宋" w:eastAsia="仿宋" w:cs="仿宋"/>
          <w:kern w:val="0"/>
          <w:sz w:val="32"/>
          <w:szCs w:val="32"/>
          <w:lang w:val="en-US" w:eastAsia="zh-CN" w:bidi="ar-SA"/>
        </w:rPr>
        <w:t>（技术）</w:t>
      </w:r>
    </w:p>
    <w:p>
      <w:pPr>
        <w:pStyle w:val="6"/>
        <w:keepNext w:val="0"/>
        <w:keepLines w:val="0"/>
        <w:pageBreakBefore w:val="0"/>
        <w:overflowPunct/>
        <w:topLinePunct w:val="0"/>
        <w:autoSpaceDE/>
        <w:autoSpaceDN/>
        <w:bidi w:val="0"/>
        <w:adjustRightInd/>
        <w:spacing w:line="560" w:lineRule="exact"/>
        <w:textAlignment w:val="auto"/>
        <w:rPr>
          <w:rFonts w:hint="default" w:ascii="Times New Roman" w:hAnsi="Times New Roman" w:cs="Times New Roman"/>
          <w:lang w:val="en-US" w:eastAsia="zh-CN"/>
        </w:rPr>
      </w:pPr>
      <w:r>
        <w:rPr>
          <w:rFonts w:hint="eastAsia" w:ascii="Times New Roman" w:hAnsi="Times New Roman" w:cs="Times New Roman"/>
          <w:lang w:val="en-US" w:eastAsia="zh-CN"/>
        </w:rPr>
        <w:t>QQ群：551655653</w:t>
      </w:r>
    </w:p>
    <w:p>
      <w:pPr>
        <w:widowControl w:val="0"/>
        <w:spacing w:line="560" w:lineRule="exact"/>
        <w:ind w:firstLine="0" w:firstLineChars="0"/>
        <w:jc w:val="both"/>
        <w:rPr>
          <w:rFonts w:ascii="Times New Roman" w:hAnsi="Times New Roman" w:eastAsia="仿宋" w:cs="Times New Roman"/>
          <w:kern w:val="2"/>
          <w:sz w:val="32"/>
          <w:szCs w:val="24"/>
          <w:lang w:val="en-US" w:eastAsia="zh-CN" w:bidi="ar-SA"/>
        </w:rPr>
      </w:pPr>
    </w:p>
    <w:p>
      <w:pPr>
        <w:spacing w:line="560" w:lineRule="exact"/>
        <w:ind w:firstLine="640" w:firstLineChars="200"/>
        <w:jc w:val="right"/>
        <w:rPr>
          <w:rFonts w:hint="eastAsia" w:ascii="仿宋" w:hAnsi="仿宋" w:eastAsia="仿宋" w:cs="仿宋"/>
          <w:sz w:val="32"/>
          <w:szCs w:val="32"/>
        </w:rPr>
      </w:pPr>
      <w:r>
        <w:rPr>
          <w:rFonts w:hint="eastAsia" w:ascii="Times New Roman" w:hAnsi="Times New Roman" w:eastAsia="仿宋" w:cs="Times New Roman"/>
          <w:sz w:val="32"/>
          <w:lang w:val="en-US" w:eastAsia="zh-CN"/>
        </w:rPr>
        <w:t>深圳证券通信有限公司</w:t>
      </w:r>
    </w:p>
    <w:p>
      <w:pPr>
        <w:jc w:val="right"/>
        <w:rPr>
          <w:rFonts w:hint="eastAsia"/>
          <w:lang w:val="en-US" w:eastAsia="zh-CN"/>
        </w:rPr>
      </w:pPr>
      <w:r>
        <w:rPr>
          <w:rFonts w:hint="eastAsia" w:ascii="仿宋" w:hAnsi="仿宋" w:eastAsia="仿宋" w:cs="仿宋"/>
          <w:sz w:val="32"/>
          <w:szCs w:val="32"/>
        </w:rPr>
        <w:t>2025年1</w:t>
      </w:r>
      <w:r>
        <w:rPr>
          <w:rFonts w:hint="eastAsia" w:ascii="仿宋" w:hAnsi="仿宋" w:eastAsia="仿宋" w:cs="仿宋"/>
          <w:sz w:val="32"/>
          <w:szCs w:val="32"/>
          <w:lang w:val="en-US" w:eastAsia="zh-CN"/>
        </w:rPr>
        <w:t>2</w:t>
      </w:r>
      <w:r>
        <w:rPr>
          <w:rFonts w:hint="eastAsia" w:ascii="仿宋" w:hAnsi="仿宋" w:eastAsia="仿宋" w:cs="仿宋"/>
          <w:sz w:val="32"/>
          <w:szCs w:val="32"/>
        </w:rPr>
        <w:t>月</w:t>
      </w:r>
      <w:r>
        <w:rPr>
          <w:rFonts w:hint="eastAsia" w:ascii="仿宋" w:hAnsi="仿宋" w:eastAsia="仿宋" w:cs="仿宋"/>
          <w:sz w:val="32"/>
          <w:szCs w:val="32"/>
          <w:lang w:val="en-US" w:eastAsia="zh-CN"/>
        </w:rPr>
        <w:t>10</w:t>
      </w:r>
      <w:r>
        <w:rPr>
          <w:rFonts w:hint="eastAsia" w:ascii="仿宋" w:hAnsi="仿宋" w:eastAsia="仿宋" w:cs="仿宋"/>
          <w:sz w:val="32"/>
          <w:szCs w:val="32"/>
        </w:rPr>
        <w:t>日</w:t>
      </w:r>
    </w:p>
    <w:sectPr>
      <w:pgSz w:w="11906" w:h="16838"/>
      <w:pgMar w:top="1440" w:right="1800" w:bottom="1440" w:left="1800"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仿宋_GB2312">
    <w:altName w:val="方正仿宋_GBK"/>
    <w:panose1 w:val="02010609030101010101"/>
    <w:charset w:val="00"/>
    <w:family w:val="auto"/>
    <w:pitch w:val="default"/>
    <w:sig w:usb0="00000000" w:usb1="00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黑体">
    <w:altName w:val="方正黑体_GBK"/>
    <w:panose1 w:val="02010609060101010101"/>
    <w:charset w:val="00"/>
    <w:family w:val="auto"/>
    <w:pitch w:val="default"/>
    <w:sig w:usb0="800002BF" w:usb1="38CF7CFA" w:usb2="00000016" w:usb3="00000000" w:csb0="00040001" w:csb1="00000000"/>
  </w:font>
  <w:font w:name="方正黑体_GBK">
    <w:panose1 w:val="02000000000000000000"/>
    <w:charset w:val="86"/>
    <w:family w:val="auto"/>
    <w:pitch w:val="default"/>
    <w:sig w:usb0="00000001" w:usb1="08000000" w:usb2="00000000" w:usb3="00000000" w:csb0="00040000" w:csb1="00000000"/>
  </w:font>
  <w:font w:name="仿宋">
    <w:altName w:val="方正仿宋_GBK"/>
    <w:panose1 w:val="02010609060101010101"/>
    <w:charset w:val="00"/>
    <w:family w:val="auto"/>
    <w:pitch w:val="default"/>
    <w:sig w:usb0="00000000" w:usb1="00000000" w:usb2="00000016" w:usb3="00000000" w:csb0="00040001" w:csb1="00000000"/>
  </w:font>
  <w:font w:name="楷体">
    <w:altName w:val="方正楷体_GBK"/>
    <w:panose1 w:val="02010609060101010101"/>
    <w:charset w:val="00"/>
    <w:family w:val="auto"/>
    <w:pitch w:val="default"/>
    <w:sig w:usb0="00000000" w:usb1="00000000" w:usb2="00000016" w:usb3="00000000" w:csb0="00040001" w:csb1="00000000"/>
  </w:font>
  <w:font w:name="方正楷体_GBK">
    <w:panose1 w:val="02000000000000000000"/>
    <w:charset w:val="86"/>
    <w:family w:val="auto"/>
    <w:pitch w:val="default"/>
    <w:sig w:usb0="00000001" w:usb1="08000000" w:usb2="00000000" w:usb3="00000000" w:csb0="00040000" w:csb1="00000000"/>
  </w:font>
  <w:font w:name="微软雅黑">
    <w:altName w:val="方正黑体_GBK"/>
    <w:panose1 w:val="00000000000000000000"/>
    <w:charset w:val="00"/>
    <w:family w:val="auto"/>
    <w:pitch w:val="default"/>
    <w:sig w:usb0="00000000" w:usb1="00000000" w:usb2="00000000" w:usb3="00000000" w:csb0="00000000" w:csb1="00000000"/>
  </w:font>
  <w:font w:name="Tahoma">
    <w:altName w:val="DejaVu Sans"/>
    <w:panose1 w:val="00000000000000000000"/>
    <w:charset w:val="00"/>
    <w:family w:val="auto"/>
    <w:pitch w:val="default"/>
    <w:sig w:usb0="00000000" w:usb1="00000000" w:usb2="00000000" w:usb3="00000000" w:csb0="0000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DB56FD8"/>
    <w:multiLevelType w:val="singleLevel"/>
    <w:tmpl w:val="EDB56FD8"/>
    <w:lvl w:ilvl="0" w:tentative="0">
      <w:start w:val="1"/>
      <w:numFmt w:val="chineseCounting"/>
      <w:suff w:val="nothing"/>
      <w:lvlText w:val="（%1）"/>
      <w:lvlJc w:val="left"/>
      <w:pPr>
        <w:ind w:left="0" w:firstLine="420"/>
      </w:pPr>
      <w:rPr>
        <w:rFonts w:hint="eastAsia" w:ascii="楷体" w:hAnsi="楷体" w:eastAsia="楷体" w:cs="楷体"/>
        <w:sz w:val="32"/>
        <w:szCs w:val="32"/>
      </w:rPr>
    </w:lvl>
  </w:abstractNum>
  <w:abstractNum w:abstractNumId="1">
    <w:nsid w:val="57B8E808"/>
    <w:multiLevelType w:val="singleLevel"/>
    <w:tmpl w:val="57B8E808"/>
    <w:lvl w:ilvl="0" w:tentative="0">
      <w:start w:val="1"/>
      <w:numFmt w:val="chineseCounting"/>
      <w:suff w:val="nothing"/>
      <w:lvlText w:val="%1、"/>
      <w:lvlJc w:val="left"/>
      <w:pPr>
        <w:ind w:left="0" w:firstLine="420"/>
      </w:pPr>
      <w:rPr>
        <w:rFonts w:hint="eastAsia" w:ascii="黑体" w:hAnsi="黑体" w:eastAsia="黑体" w:cs="黑体"/>
        <w:b w:val="0"/>
        <w:bCs w:val="0"/>
        <w:sz w:val="32"/>
        <w:szCs w:val="32"/>
      </w:rPr>
    </w:lvl>
  </w:abstractNum>
  <w:abstractNum w:abstractNumId="2">
    <w:nsid w:val="5CBCB886"/>
    <w:multiLevelType w:val="singleLevel"/>
    <w:tmpl w:val="5CBCB886"/>
    <w:lvl w:ilvl="0" w:tentative="0">
      <w:start w:val="1"/>
      <w:numFmt w:val="chineseCounting"/>
      <w:suff w:val="nothing"/>
      <w:lvlText w:val="（%1）"/>
      <w:lvlJc w:val="left"/>
      <w:pPr>
        <w:ind w:left="0" w:firstLine="420"/>
      </w:pPr>
      <w:rPr>
        <w:rFonts w:hint="eastAsia"/>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DFB35A2"/>
    <w:rsid w:val="7DFB35A2"/>
    <w:rsid w:val="AE673E9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60" w:lineRule="auto"/>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Style w:val="4"/>
      <w:tblCellMar>
        <w:top w:w="0" w:type="dxa"/>
        <w:left w:w="108" w:type="dxa"/>
        <w:bottom w:w="0" w:type="dxa"/>
        <w:right w:w="108" w:type="dxa"/>
      </w:tblCellMar>
    </w:tblPr>
  </w:style>
  <w:style w:type="paragraph" w:styleId="2">
    <w:name w:val="Normal Indent"/>
    <w:basedOn w:val="1"/>
    <w:qFormat/>
    <w:uiPriority w:val="0"/>
    <w:pPr>
      <w:ind w:firstLine="420"/>
    </w:pPr>
    <w:rPr>
      <w:rFonts w:ascii="Calibri" w:hAnsi="Calibri" w:eastAsia="宋体"/>
    </w:rPr>
  </w:style>
  <w:style w:type="paragraph" w:styleId="3">
    <w:name w:val="Title"/>
    <w:next w:val="1"/>
    <w:qFormat/>
    <w:uiPriority w:val="0"/>
    <w:pPr>
      <w:snapToGrid w:val="0"/>
      <w:jc w:val="center"/>
    </w:pPr>
    <w:rPr>
      <w:rFonts w:ascii="宋体" w:hAnsi="宋体" w:eastAsia="方正小标宋简体" w:cs="宋体"/>
      <w:bCs/>
      <w:kern w:val="2"/>
      <w:sz w:val="44"/>
      <w:szCs w:val="44"/>
      <w:lang w:val="en-US" w:eastAsia="zh-CN" w:bidi="ar-SA"/>
    </w:rPr>
  </w:style>
  <w:style w:type="paragraph" w:customStyle="1" w:styleId="6">
    <w:name w:val="请示正文"/>
    <w:qFormat/>
    <w:uiPriority w:val="0"/>
    <w:pPr>
      <w:widowControl w:val="0"/>
      <w:spacing w:line="360" w:lineRule="auto"/>
      <w:ind w:firstLine="640" w:firstLineChars="200"/>
      <w:jc w:val="both"/>
    </w:pPr>
    <w:rPr>
      <w:rFonts w:ascii="仿宋_GB2312" w:hAnsi="仿宋_GB2312" w:eastAsia="仿宋_GB2312" w:cs="Times New Roman"/>
      <w:sz w:val="32"/>
      <w:szCs w:val="22"/>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2.33333333333333</TotalTime>
  <ScaleCrop>false</ScaleCrop>
  <LinksUpToDate>false</LinksUpToDate>
  <CharactersWithSpaces>0</CharactersWithSpaces>
  <Application>WPS Office_11.8.2.12356_F1E327BC-269C-435d-A152-05C5408002CA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2025-12-12T18:52:00Z</dcterms:created>
  <dc:creator>liangjie</dc:creator>
  <cp:lastModifiedBy>liangjie</cp:lastModifiedBy>
  <dcterms:modified xsi:type="dcterms:W3CDTF">2025-12-12T11:15:38Z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2052-11.8.2.12356</vt:lpwstr>
  </property>
  <property fmtid="{D5CDD505-2E9C-101B-9397-08002B2CF9AE}" pid="3" name="ICV">
    <vt:lpwstr>E9E541F4E1E529B5DA883B690B93C20A</vt:lpwstr>
  </property>
</Properties>
</file>